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5104"/>
        <w:gridCol w:w="4253"/>
        <w:gridCol w:w="5386"/>
      </w:tblGrid>
      <w:tr w:rsidR="00EC5A13" w14:paraId="337696D9" w14:textId="77777777" w:rsidTr="009C10E6">
        <w:trPr>
          <w:trHeight w:val="1412"/>
        </w:trPr>
        <w:tc>
          <w:tcPr>
            <w:tcW w:w="5104" w:type="dxa"/>
            <w:vAlign w:val="center"/>
          </w:tcPr>
          <w:p w14:paraId="22CB4AFE" w14:textId="77777777" w:rsidR="00EC5A13" w:rsidRPr="007772F5" w:rsidRDefault="00EC5A13" w:rsidP="00A16654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7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Фонд поддержки малого и среднего</w:t>
            </w:r>
          </w:p>
          <w:p w14:paraId="6C08BD93" w14:textId="77777777" w:rsidR="00EC5A13" w:rsidRPr="007772F5" w:rsidRDefault="00EC5A13" w:rsidP="00A166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/>
                <w:bCs/>
                <w:sz w:val="20"/>
                <w:szCs w:val="20"/>
              </w:rPr>
              <w:t>предпринимательства Ярославской области (микрокредитная компания)</w:t>
            </w:r>
          </w:p>
          <w:p w14:paraId="265D9F4C" w14:textId="77777777" w:rsidR="00EC5A13" w:rsidRPr="007772F5" w:rsidRDefault="00EC5A13" w:rsidP="00A16654">
            <w:pPr>
              <w:tabs>
                <w:tab w:val="left" w:pos="10773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г. Ярославль, ул. Свердлова, д 25Д</w:t>
            </w:r>
          </w:p>
          <w:p w14:paraId="70B4F9DA" w14:textId="77777777" w:rsidR="00FC3DB2" w:rsidRDefault="00EC5A13" w:rsidP="00A166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 xml:space="preserve">тел. 8(4852) 58-80-84, </w:t>
            </w:r>
            <w:hyperlink r:id="rId7" w:history="1">
              <w:r w:rsidR="00FC3DB2" w:rsidRPr="00EA14FB">
                <w:rPr>
                  <w:rStyle w:val="a5"/>
                  <w:rFonts w:ascii="Times New Roman" w:hAnsi="Times New Roman"/>
                  <w:bCs/>
                  <w:sz w:val="20"/>
                  <w:szCs w:val="20"/>
                  <w:lang w:val="en-US"/>
                </w:rPr>
                <w:t>www.fond76.ru</w:t>
              </w:r>
            </w:hyperlink>
          </w:p>
          <w:p w14:paraId="69E218D4" w14:textId="77777777" w:rsidR="00FC3DB2" w:rsidRPr="00FC3DB2" w:rsidRDefault="00FC3DB2" w:rsidP="00A166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1DF67F1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A343BF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1C6ABCE6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45DD741C" w14:textId="77777777" w:rsidR="00EC5A13" w:rsidRPr="007772F5" w:rsidRDefault="00806F25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EC5A13" w:rsidRPr="007772F5">
              <w:rPr>
                <w:rFonts w:ascii="Times New Roman" w:hAnsi="Times New Roman"/>
                <w:bCs/>
                <w:sz w:val="20"/>
                <w:szCs w:val="20"/>
              </w:rPr>
              <w:t>УТВЕРЖДЕНО</w:t>
            </w: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5BBC249F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Протоколом Высшего совета Фонда ПП ЯО (МКК)</w:t>
            </w:r>
          </w:p>
          <w:p w14:paraId="5BD5C86B" w14:textId="42A491F5" w:rsidR="00EC5A13" w:rsidRPr="007772F5" w:rsidRDefault="00136579" w:rsidP="00B00EC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 </w:t>
            </w:r>
            <w:r w:rsidR="00B00EC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25</w:t>
            </w:r>
            <w:r w:rsidR="00B05897" w:rsidRPr="00741D1A">
              <w:rPr>
                <w:rFonts w:ascii="Times New Roman" w:hAnsi="Times New Roman"/>
                <w:bCs/>
                <w:sz w:val="20"/>
                <w:szCs w:val="20"/>
              </w:rPr>
              <w:t>.08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.2025 </w:t>
            </w:r>
            <w:r w:rsidR="002C4458">
              <w:rPr>
                <w:rFonts w:ascii="Times New Roman" w:hAnsi="Times New Roman"/>
                <w:bCs/>
                <w:sz w:val="20"/>
                <w:szCs w:val="20"/>
              </w:rPr>
              <w:t>№ 10</w:t>
            </w:r>
          </w:p>
        </w:tc>
      </w:tr>
    </w:tbl>
    <w:p w14:paraId="6785E4D6" w14:textId="77777777" w:rsidR="00EC5A13" w:rsidRPr="0002599C" w:rsidRDefault="00EC5A13" w:rsidP="00EC5A13">
      <w:pPr>
        <w:spacing w:after="0"/>
        <w:rPr>
          <w:vanish/>
        </w:rPr>
      </w:pPr>
    </w:p>
    <w:tbl>
      <w:tblPr>
        <w:tblW w:w="1587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  <w:gridCol w:w="6379"/>
      </w:tblGrid>
      <w:tr w:rsidR="009C10E6" w14:paraId="7ECA0D0A" w14:textId="77777777" w:rsidTr="00B878B8">
        <w:trPr>
          <w:trHeight w:val="989"/>
        </w:trPr>
        <w:tc>
          <w:tcPr>
            <w:tcW w:w="15877" w:type="dxa"/>
            <w:gridSpan w:val="3"/>
            <w:shd w:val="clear" w:color="auto" w:fill="FDD54D"/>
          </w:tcPr>
          <w:p w14:paraId="16A8D610" w14:textId="77777777" w:rsidR="00B1259A" w:rsidRDefault="00B1259A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  <w:p w14:paraId="6628E200" w14:textId="77777777" w:rsidR="009C10E6" w:rsidRDefault="009C10E6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9C10E6">
              <w:rPr>
                <w:rFonts w:ascii="Times New Roman" w:hAnsi="Times New Roman"/>
                <w:b/>
                <w:sz w:val="28"/>
                <w:szCs w:val="20"/>
              </w:rPr>
              <w:t>Паспорт продукта «</w:t>
            </w:r>
            <w:r w:rsidR="00F97052">
              <w:rPr>
                <w:rFonts w:ascii="Times New Roman" w:hAnsi="Times New Roman"/>
                <w:b/>
                <w:sz w:val="28"/>
                <w:szCs w:val="20"/>
              </w:rPr>
              <w:t>Инвестиционный</w:t>
            </w:r>
            <w:r w:rsidRPr="009C10E6">
              <w:rPr>
                <w:rFonts w:ascii="Times New Roman" w:hAnsi="Times New Roman"/>
                <w:b/>
                <w:sz w:val="28"/>
                <w:szCs w:val="20"/>
              </w:rPr>
              <w:t>»</w:t>
            </w:r>
          </w:p>
          <w:p w14:paraId="4DF3C3A4" w14:textId="77777777" w:rsidR="00C83AF7" w:rsidRDefault="00316BD1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proofErr w:type="gramStart"/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(в редакции протоколов В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ысшего совета Фонда ПП ЯО (МКК) 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от 16.03.2022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4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, от 29.04.2022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6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, от 20.07.202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9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2, от 15.09.2022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11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, от 29.02.2024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, от 05.07.2024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4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, от 09.08.202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5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4, от 01.10.2024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6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 </w:t>
            </w:r>
            <w:proofErr w:type="gramEnd"/>
          </w:p>
          <w:p w14:paraId="49731110" w14:textId="5A3B88D8" w:rsidR="00316BD1" w:rsidRPr="009C10E6" w:rsidRDefault="00316BD1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от 25.11.202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775BEA" w:rsidRPr="00316BD1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> 8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, от </w:t>
            </w:r>
            <w:r w:rsidR="00B00EC9">
              <w:rPr>
                <w:rFonts w:ascii="Times New Roman" w:hAnsi="Times New Roman"/>
                <w:b/>
                <w:sz w:val="16"/>
                <w:szCs w:val="20"/>
                <w:lang w:val="en-US"/>
              </w:rPr>
              <w:t>25</w:t>
            </w:r>
            <w:bookmarkStart w:id="0" w:name="_GoBack"/>
            <w:bookmarkEnd w:id="0"/>
            <w:r w:rsidRPr="00741D1A">
              <w:rPr>
                <w:rFonts w:ascii="Times New Roman" w:hAnsi="Times New Roman"/>
                <w:b/>
                <w:sz w:val="16"/>
                <w:szCs w:val="20"/>
              </w:rPr>
              <w:t>.08.2025</w:t>
            </w:r>
            <w:r w:rsidR="00775BEA">
              <w:rPr>
                <w:rFonts w:ascii="Times New Roman" w:hAnsi="Times New Roman"/>
                <w:b/>
                <w:sz w:val="16"/>
                <w:szCs w:val="20"/>
              </w:rPr>
              <w:t xml:space="preserve"> № 10</w:t>
            </w:r>
            <w:r w:rsidRPr="00316BD1">
              <w:rPr>
                <w:rFonts w:ascii="Times New Roman" w:hAnsi="Times New Roman"/>
                <w:b/>
                <w:sz w:val="16"/>
                <w:szCs w:val="20"/>
              </w:rPr>
              <w:t>)</w:t>
            </w:r>
          </w:p>
          <w:p w14:paraId="5E625E57" w14:textId="77777777" w:rsidR="009C10E6" w:rsidRPr="000E40A8" w:rsidRDefault="009C10E6" w:rsidP="007772F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EC5A13" w14:paraId="73271E4F" w14:textId="77777777" w:rsidTr="00951611">
        <w:trPr>
          <w:trHeight w:val="1134"/>
        </w:trPr>
        <w:tc>
          <w:tcPr>
            <w:tcW w:w="3119" w:type="dxa"/>
            <w:shd w:val="clear" w:color="auto" w:fill="EEECE1" w:themeFill="background2"/>
            <w:vAlign w:val="center"/>
          </w:tcPr>
          <w:p w14:paraId="286325E1" w14:textId="77777777" w:rsidR="00EC5A13" w:rsidRPr="00951611" w:rsidRDefault="00EC5A13" w:rsidP="009516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sz w:val="20"/>
                <w:szCs w:val="18"/>
              </w:rPr>
              <w:t>Заемщик</w:t>
            </w:r>
            <w:r w:rsidR="000E40A8" w:rsidRPr="00951611">
              <w:rPr>
                <w:rFonts w:ascii="Times New Roman" w:hAnsi="Times New Roman"/>
                <w:b/>
                <w:sz w:val="20"/>
                <w:szCs w:val="18"/>
              </w:rPr>
              <w:t xml:space="preserve">/Субъект малого и среднего </w:t>
            </w:r>
            <w:r w:rsidRPr="00951611">
              <w:rPr>
                <w:rFonts w:ascii="Times New Roman" w:hAnsi="Times New Roman"/>
                <w:b/>
                <w:sz w:val="20"/>
                <w:szCs w:val="18"/>
              </w:rPr>
              <w:t xml:space="preserve">предпринимательства </w:t>
            </w:r>
            <w:r w:rsidR="009342F6" w:rsidRPr="00951611">
              <w:rPr>
                <w:rFonts w:ascii="Times New Roman" w:hAnsi="Times New Roman"/>
                <w:b/>
                <w:sz w:val="20"/>
                <w:szCs w:val="18"/>
              </w:rPr>
              <w:t>(далее – Субъект МСП)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7EB0FC48" w14:textId="77777777" w:rsidR="000E40A8" w:rsidRDefault="000E40A8" w:rsidP="00951611">
            <w:p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МСП,</w:t>
            </w:r>
            <w:r w:rsidRPr="00694AA0">
              <w:rPr>
                <w:rFonts w:ascii="Times New Roman" w:hAnsi="Times New Roman"/>
                <w:sz w:val="20"/>
                <w:szCs w:val="20"/>
              </w:rPr>
              <w:t xml:space="preserve"> отвечающий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ребованиям  Федерального закона </w:t>
            </w:r>
            <w:r w:rsidRPr="00694AA0">
              <w:rPr>
                <w:rFonts w:ascii="Times New Roman" w:hAnsi="Times New Roman"/>
                <w:sz w:val="20"/>
                <w:szCs w:val="20"/>
              </w:rPr>
              <w:t>от 24.07.2007 № 209-ФЗ «О развитии малого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среднего предпринимательства</w:t>
            </w:r>
          </w:p>
          <w:p w14:paraId="66CB444C" w14:textId="77777777" w:rsidR="000E40A8" w:rsidRDefault="000E40A8" w:rsidP="00951611">
            <w:p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 w:rsidRPr="00694AA0">
              <w:rPr>
                <w:rFonts w:ascii="Times New Roman" w:hAnsi="Times New Roman"/>
                <w:sz w:val="20"/>
                <w:szCs w:val="20"/>
              </w:rPr>
              <w:t>Российской Федерации»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F08186A" w14:textId="77777777" w:rsidR="000E40A8" w:rsidRDefault="000E40A8" w:rsidP="0095161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AA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юридическое лицо;</w:t>
            </w:r>
          </w:p>
          <w:p w14:paraId="149D5734" w14:textId="71CCFE5C" w:rsidR="00EC5A13" w:rsidRPr="001E08A0" w:rsidRDefault="000E40A8" w:rsidP="0095161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694AA0">
              <w:rPr>
                <w:rFonts w:ascii="Times New Roman" w:hAnsi="Times New Roman"/>
                <w:sz w:val="20"/>
                <w:szCs w:val="20"/>
              </w:rPr>
              <w:t xml:space="preserve"> инд</w:t>
            </w:r>
            <w:r w:rsidR="004B7683">
              <w:rPr>
                <w:rFonts w:ascii="Times New Roman" w:hAnsi="Times New Roman"/>
                <w:sz w:val="20"/>
                <w:szCs w:val="20"/>
              </w:rPr>
              <w:t>ивидуальный предприниматель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C5A13" w14:paraId="16D4DB16" w14:textId="77777777" w:rsidTr="00FC3DB2">
        <w:trPr>
          <w:trHeight w:val="3345"/>
        </w:trPr>
        <w:tc>
          <w:tcPr>
            <w:tcW w:w="3119" w:type="dxa"/>
            <w:shd w:val="clear" w:color="auto" w:fill="EEECE1" w:themeFill="background2"/>
            <w:vAlign w:val="center"/>
          </w:tcPr>
          <w:p w14:paraId="3EC2B449" w14:textId="77777777" w:rsidR="00EC5A13" w:rsidRPr="00951611" w:rsidRDefault="00EC5A13" w:rsidP="009516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sz w:val="20"/>
                <w:szCs w:val="18"/>
              </w:rPr>
              <w:t>Обязательные условия, предъявляемые к Заемщику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4E8B2A76" w14:textId="07388849" w:rsidR="00FC3DB2" w:rsidRPr="001C1230" w:rsidRDefault="005C0AB4" w:rsidP="00B66A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FC3DB2" w:rsidRPr="001C1230">
              <w:rPr>
                <w:rFonts w:ascii="Times New Roman" w:hAnsi="Times New Roman"/>
                <w:sz w:val="20"/>
                <w:szCs w:val="20"/>
              </w:rPr>
              <w:t xml:space="preserve">егистрация и осуществление деятельности на территории Ярославской области; </w:t>
            </w:r>
          </w:p>
          <w:p w14:paraId="4BE8D7D1" w14:textId="4807D3DE" w:rsidR="00FC3DB2" w:rsidRPr="001C1230" w:rsidRDefault="00FC3DB2" w:rsidP="00B66A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осуществление непрерывной финансово-хозяйственной д</w:t>
            </w:r>
            <w:r w:rsidR="00775BEA">
              <w:rPr>
                <w:rFonts w:ascii="Times New Roman" w:hAnsi="Times New Roman"/>
                <w:sz w:val="20"/>
                <w:szCs w:val="20"/>
              </w:rPr>
              <w:t>еятельности сроком не менее 6 (ш</w:t>
            </w:r>
            <w:r w:rsidRPr="001C1230">
              <w:rPr>
                <w:rFonts w:ascii="Times New Roman" w:hAnsi="Times New Roman"/>
                <w:sz w:val="20"/>
                <w:szCs w:val="20"/>
              </w:rPr>
              <w:t>ести) месяцев на дату обращения в Фонд</w:t>
            </w:r>
            <w:r w:rsidR="00D203AA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775BEA">
              <w:rPr>
                <w:rFonts w:ascii="Times New Roman" w:hAnsi="Times New Roman"/>
                <w:sz w:val="20"/>
                <w:szCs w:val="20"/>
              </w:rPr>
              <w:t>не менее 3 (т</w:t>
            </w:r>
            <w:r w:rsidR="00A67E60">
              <w:rPr>
                <w:rFonts w:ascii="Times New Roman" w:hAnsi="Times New Roman"/>
                <w:sz w:val="20"/>
                <w:szCs w:val="20"/>
              </w:rPr>
              <w:t>рех</w:t>
            </w:r>
            <w:r w:rsidR="00136579">
              <w:rPr>
                <w:rFonts w:ascii="Times New Roman" w:hAnsi="Times New Roman"/>
                <w:sz w:val="20"/>
                <w:szCs w:val="20"/>
              </w:rPr>
              <w:t>)</w:t>
            </w:r>
            <w:r w:rsidR="00A67E60">
              <w:rPr>
                <w:rFonts w:ascii="Times New Roman" w:hAnsi="Times New Roman"/>
                <w:sz w:val="20"/>
                <w:szCs w:val="20"/>
              </w:rPr>
              <w:t xml:space="preserve"> мес</w:t>
            </w:r>
            <w:r w:rsidR="00B02D64">
              <w:rPr>
                <w:rFonts w:ascii="Times New Roman" w:hAnsi="Times New Roman"/>
                <w:sz w:val="20"/>
                <w:szCs w:val="20"/>
              </w:rPr>
              <w:t>яцев</w:t>
            </w:r>
            <w:r w:rsidR="00136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2D64">
              <w:rPr>
                <w:rFonts w:ascii="Times New Roman" w:hAnsi="Times New Roman"/>
                <w:sz w:val="20"/>
                <w:szCs w:val="20"/>
              </w:rPr>
              <w:t>на дату обращения в Фонд -</w:t>
            </w:r>
            <w:r w:rsidR="00A67E60">
              <w:rPr>
                <w:rFonts w:ascii="Times New Roman" w:hAnsi="Times New Roman"/>
                <w:sz w:val="20"/>
                <w:szCs w:val="20"/>
              </w:rPr>
              <w:t xml:space="preserve"> для С</w:t>
            </w:r>
            <w:r w:rsidR="00A67E60" w:rsidRPr="00661BFD">
              <w:rPr>
                <w:rFonts w:ascii="Times New Roman" w:hAnsi="Times New Roman"/>
                <w:sz w:val="20"/>
                <w:szCs w:val="20"/>
              </w:rPr>
              <w:t>убъект</w:t>
            </w:r>
            <w:r w:rsidR="00A67E60">
              <w:rPr>
                <w:rFonts w:ascii="Times New Roman" w:hAnsi="Times New Roman"/>
                <w:sz w:val="20"/>
                <w:szCs w:val="20"/>
              </w:rPr>
              <w:t>а МСП</w:t>
            </w:r>
            <w:r w:rsidR="00D203AA">
              <w:rPr>
                <w:rFonts w:ascii="Times New Roman" w:hAnsi="Times New Roman"/>
                <w:sz w:val="20"/>
                <w:szCs w:val="20"/>
              </w:rPr>
              <w:t>,</w:t>
            </w:r>
            <w:r w:rsidR="00A67E60">
              <w:rPr>
                <w:rFonts w:ascii="Times New Roman" w:hAnsi="Times New Roman"/>
                <w:sz w:val="20"/>
                <w:szCs w:val="20"/>
              </w:rPr>
              <w:t xml:space="preserve"> являющегося </w:t>
            </w:r>
            <w:r w:rsidR="00A67E60" w:rsidRPr="00661BFD">
              <w:rPr>
                <w:rFonts w:ascii="Times New Roman" w:hAnsi="Times New Roman"/>
                <w:sz w:val="20"/>
                <w:szCs w:val="20"/>
              </w:rPr>
              <w:t>вновь зарегистрированным и действующим менее 2</w:t>
            </w:r>
            <w:r w:rsidR="00136579">
              <w:rPr>
                <w:rFonts w:ascii="Times New Roman" w:hAnsi="Times New Roman"/>
                <w:sz w:val="20"/>
                <w:szCs w:val="20"/>
              </w:rPr>
              <w:t xml:space="preserve"> (двух) </w:t>
            </w:r>
            <w:r w:rsidR="00A67E60" w:rsidRPr="00661BFD">
              <w:rPr>
                <w:rFonts w:ascii="Times New Roman" w:hAnsi="Times New Roman"/>
                <w:sz w:val="20"/>
                <w:szCs w:val="20"/>
              </w:rPr>
              <w:t xml:space="preserve">лет на дату заключения договора о предоставлении </w:t>
            </w:r>
            <w:proofErr w:type="spellStart"/>
            <w:r w:rsidR="00A67E60" w:rsidRPr="00661BFD">
              <w:rPr>
                <w:rFonts w:ascii="Times New Roman" w:hAnsi="Times New Roman"/>
                <w:sz w:val="20"/>
                <w:szCs w:val="20"/>
              </w:rPr>
              <w:t>микрозайма</w:t>
            </w:r>
            <w:proofErr w:type="spellEnd"/>
            <w:r w:rsidRPr="001C123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EAC5CCB" w14:textId="77777777" w:rsidR="00FC3DB2" w:rsidRDefault="00FC3DB2" w:rsidP="00B66A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Субъект МСП не относится к субъектам малого и среднего предпринимательства, указанным в части 3 и части 4 статьи 14 Федерального закона от 24.07.2007 № 209-ФЗ «О развитии малого и среднего предпринимательства Российской Федерации»;</w:t>
            </w:r>
          </w:p>
          <w:p w14:paraId="7570B8DA" w14:textId="519E27AF" w:rsidR="00FC3DB2" w:rsidRPr="004B7C94" w:rsidRDefault="00985615" w:rsidP="00B66A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 С</w:t>
            </w:r>
            <w:r w:rsidR="00FC3DB2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убъекта МСП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FC3DB2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отсутствует просроченная задолженность по налогам и сборам и иным обязательным платежам в бюджеты бюджетной системы Российской Федерации, превышающая 50 тыс. рублей, подтвержденная справкой налогового органа, выданной не ранее 30</w:t>
            </w:r>
            <w:r w:rsidR="00775BE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(тридцати)</w:t>
            </w:r>
            <w:r w:rsidR="00FC3DB2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календарных дней до дня заключения договора </w:t>
            </w:r>
            <w:proofErr w:type="spellStart"/>
            <w:r w:rsidR="00FC3DB2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микрозайма</w:t>
            </w:r>
            <w:proofErr w:type="spellEnd"/>
            <w:r w:rsidR="00FC3DB2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14:paraId="00706CA0" w14:textId="77777777" w:rsidR="00FC3DB2" w:rsidRPr="001C1230" w:rsidRDefault="00FC3DB2" w:rsidP="00B66A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C123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 отношении Субъекта МСП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не применяются </w:t>
            </w:r>
            <w:r w:rsidRPr="001C123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процедуры несостоятельности (банкротства), в том числе наблюдение, финансовое оздоровление, внешнее управление, конкурсное производство либо аннулирование или приостановление действия лицензии (в случае, если деятельность подлежит лицензированию);</w:t>
            </w:r>
          </w:p>
          <w:p w14:paraId="7403D91D" w14:textId="77777777" w:rsidR="00FC3DB2" w:rsidRPr="001C1230" w:rsidRDefault="00FC3DB2" w:rsidP="00B66A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наличие положительной  кредитной истории;</w:t>
            </w:r>
          </w:p>
          <w:p w14:paraId="52AD2712" w14:textId="77777777" w:rsidR="00FC3DB2" w:rsidRPr="001C1230" w:rsidRDefault="00FC3DB2" w:rsidP="00B66A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наличие положительной деловой репутации;</w:t>
            </w:r>
          </w:p>
          <w:p w14:paraId="57C0B461" w14:textId="60470ECC" w:rsidR="000E40A8" w:rsidRPr="00951611" w:rsidRDefault="00FC3DB2" w:rsidP="00B66A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 xml:space="preserve">иные условия, установленные правилами предоставления </w:t>
            </w:r>
            <w:proofErr w:type="spellStart"/>
            <w:r w:rsidRPr="001C1230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1C1230">
              <w:rPr>
                <w:rFonts w:ascii="Times New Roman" w:hAnsi="Times New Roman"/>
                <w:sz w:val="20"/>
                <w:szCs w:val="20"/>
              </w:rPr>
              <w:t xml:space="preserve"> субъектам малого и среднего предпринимательства из средств Фонда поддержки малого и среднего предпринимательства Ярославской области (микрокредитная компания)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962EA" w14:paraId="79F06520" w14:textId="77777777" w:rsidTr="008A09AF">
        <w:trPr>
          <w:trHeight w:val="567"/>
        </w:trPr>
        <w:tc>
          <w:tcPr>
            <w:tcW w:w="3119" w:type="dxa"/>
            <w:shd w:val="clear" w:color="auto" w:fill="EEECE1" w:themeFill="background2"/>
            <w:vAlign w:val="center"/>
          </w:tcPr>
          <w:p w14:paraId="7EE59967" w14:textId="77777777" w:rsidR="008962EA" w:rsidRPr="00951611" w:rsidRDefault="008962EA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Условия применения продукта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493B1062" w14:textId="77777777" w:rsidR="008962EA" w:rsidRPr="001C1230" w:rsidRDefault="008962EA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1045">
              <w:rPr>
                <w:rFonts w:ascii="Times New Roman" w:hAnsi="Times New Roman"/>
                <w:sz w:val="20"/>
                <w:szCs w:val="20"/>
              </w:rPr>
              <w:t xml:space="preserve">Субъект МСП предоставляет в Фонд инвестиционный проект, на который запрашивается </w:t>
            </w:r>
            <w:proofErr w:type="spellStart"/>
            <w:r w:rsidRPr="007C1045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7C1045">
              <w:rPr>
                <w:rFonts w:ascii="Times New Roman" w:hAnsi="Times New Roman"/>
                <w:sz w:val="20"/>
                <w:szCs w:val="20"/>
              </w:rPr>
              <w:t xml:space="preserve"> Фонда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C5A13" w14:paraId="0468E22F" w14:textId="77777777" w:rsidTr="00951611">
        <w:trPr>
          <w:trHeight w:val="550"/>
        </w:trPr>
        <w:tc>
          <w:tcPr>
            <w:tcW w:w="3119" w:type="dxa"/>
            <w:shd w:val="clear" w:color="auto" w:fill="EEECE1" w:themeFill="background2"/>
            <w:vAlign w:val="center"/>
          </w:tcPr>
          <w:p w14:paraId="1664818D" w14:textId="77777777" w:rsidR="00EC5A13" w:rsidRPr="00951611" w:rsidRDefault="00EC5A13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Орган, принимающий решение о предоставлении финансовой поддержки (</w:t>
            </w:r>
            <w:proofErr w:type="spellStart"/>
            <w:r w:rsidR="00726F9D"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микро</w:t>
            </w: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займа</w:t>
            </w:r>
            <w:proofErr w:type="spellEnd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28CABAB1" w14:textId="004A33E2" w:rsidR="00711AE6" w:rsidRPr="00694AA0" w:rsidRDefault="00B1259A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 xml:space="preserve">Кредитный комитет Фонда поддержки малого и среднего предпринимательства Ярославской области (микрокредитная компания) по предоставлению финансовой поддержки </w:t>
            </w:r>
            <w:r w:rsidR="00B02D64">
              <w:rPr>
                <w:rFonts w:ascii="Times New Roman" w:hAnsi="Times New Roman"/>
                <w:sz w:val="20"/>
                <w:szCs w:val="20"/>
              </w:rPr>
              <w:t>(далее -</w:t>
            </w:r>
            <w:r w:rsidR="00F424A7" w:rsidRPr="001C1230">
              <w:rPr>
                <w:rFonts w:ascii="Times New Roman" w:hAnsi="Times New Roman"/>
                <w:sz w:val="20"/>
                <w:szCs w:val="20"/>
              </w:rPr>
              <w:t xml:space="preserve"> Кредитный комитет Фонда ПП ЯО (МКК)). </w:t>
            </w:r>
          </w:p>
        </w:tc>
      </w:tr>
      <w:tr w:rsidR="00EC5A13" w:rsidRPr="001C1230" w14:paraId="6E935B1D" w14:textId="77777777" w:rsidTr="008962EA">
        <w:trPr>
          <w:trHeight w:val="567"/>
        </w:trPr>
        <w:tc>
          <w:tcPr>
            <w:tcW w:w="3119" w:type="dxa"/>
            <w:shd w:val="clear" w:color="auto" w:fill="EEECE1" w:themeFill="background2"/>
            <w:vAlign w:val="center"/>
          </w:tcPr>
          <w:p w14:paraId="46B9DC4C" w14:textId="77777777" w:rsidR="00EC5A13" w:rsidRPr="00951611" w:rsidRDefault="00EC5A13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Срок принятия решения о предоставлении </w:t>
            </w:r>
            <w:proofErr w:type="spellStart"/>
            <w:r w:rsidR="00726F9D"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микро</w:t>
            </w: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займа</w:t>
            </w:r>
            <w:proofErr w:type="spellEnd"/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6345246D" w14:textId="2FDD8BE5" w:rsidR="00EC5A13" w:rsidRPr="001C1230" w:rsidRDefault="00B66A94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="00B1259A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е более 10</w:t>
            </w:r>
            <w:r w:rsidR="00775BE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(д</w:t>
            </w:r>
            <w:r w:rsidR="001C1230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есяти)</w:t>
            </w:r>
            <w:r w:rsidR="00B1259A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рабочих дней </w:t>
            </w:r>
            <w:r w:rsidR="001B09E1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с даты, следующей за датой регистрации Фондом заяв</w:t>
            </w:r>
            <w:r w:rsidR="004B7683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ки на предоставление </w:t>
            </w:r>
            <w:proofErr w:type="spellStart"/>
            <w:r w:rsidR="004B7683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микрозайма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EC5A13" w:rsidRPr="00CA783A" w14:paraId="7345CC9A" w14:textId="77777777" w:rsidTr="008A09AF">
        <w:trPr>
          <w:trHeight w:val="567"/>
        </w:trPr>
        <w:tc>
          <w:tcPr>
            <w:tcW w:w="3119" w:type="dxa"/>
            <w:shd w:val="clear" w:color="auto" w:fill="EEECE1" w:themeFill="background2"/>
            <w:vAlign w:val="center"/>
          </w:tcPr>
          <w:p w14:paraId="261B487F" w14:textId="77777777" w:rsidR="00EC5A13" w:rsidRPr="00951611" w:rsidRDefault="001C1230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Форма предоставления </w:t>
            </w:r>
            <w:proofErr w:type="spellStart"/>
            <w:r w:rsidR="00726F9D"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микро</w:t>
            </w:r>
            <w:r w:rsidR="00EC5A13"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займа</w:t>
            </w:r>
            <w:proofErr w:type="spellEnd"/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7FB8E568" w14:textId="4CFD7FAA" w:rsidR="001C1230" w:rsidRPr="00CA783A" w:rsidRDefault="00B66A94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>диновременное перечисление</w:t>
            </w:r>
            <w:r w:rsidR="00775BEA">
              <w:rPr>
                <w:rFonts w:ascii="Times New Roman" w:hAnsi="Times New Roman"/>
                <w:sz w:val="20"/>
                <w:szCs w:val="20"/>
              </w:rPr>
              <w:t xml:space="preserve"> суммы займа на  расчетный счет 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>Заемщика открытый в кредитной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C5A13" w:rsidRPr="00CA783A" w14:paraId="54E1D539" w14:textId="77777777" w:rsidTr="008962EA">
        <w:trPr>
          <w:trHeight w:val="1134"/>
        </w:trPr>
        <w:tc>
          <w:tcPr>
            <w:tcW w:w="3119" w:type="dxa"/>
            <w:shd w:val="clear" w:color="auto" w:fill="EEECE1" w:themeFill="background2"/>
            <w:vAlign w:val="center"/>
          </w:tcPr>
          <w:p w14:paraId="57C719AB" w14:textId="77777777" w:rsidR="00EC5A13" w:rsidRPr="00951611" w:rsidRDefault="00B00EC9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hyperlink r:id="rId8" w:anchor="RANGE!A43" w:history="1">
              <w:r w:rsidR="00EC5A13" w:rsidRPr="00951611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>Порядок возврата</w:t>
              </w:r>
              <w:r w:rsidR="001C1230" w:rsidRPr="00951611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 xml:space="preserve"> </w:t>
              </w:r>
              <w:r w:rsidR="00711AE6" w:rsidRPr="00951611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>займа</w:t>
              </w:r>
              <w:r w:rsidR="00EC5A13" w:rsidRPr="00951611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 xml:space="preserve"> и уплаты процентов за пользование </w:t>
              </w:r>
              <w:proofErr w:type="spellStart"/>
              <w:r w:rsidR="00726F9D" w:rsidRPr="00951611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>микро</w:t>
              </w:r>
              <w:r w:rsidR="00EC5A13" w:rsidRPr="00951611">
                <w:rPr>
                  <w:rFonts w:ascii="Times New Roman" w:hAnsi="Times New Roman"/>
                  <w:b/>
                  <w:bCs/>
                  <w:sz w:val="20"/>
                  <w:szCs w:val="18"/>
                </w:rPr>
                <w:t>займом</w:t>
              </w:r>
              <w:proofErr w:type="spellEnd"/>
            </w:hyperlink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0C309A5A" w14:textId="3F2E13E7" w:rsidR="00F14FFA" w:rsidRPr="001C1230" w:rsidRDefault="00B66A94" w:rsidP="0095161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 xml:space="preserve"> соответствии с графиком платежей</w:t>
            </w:r>
            <w:r w:rsidR="00DE2E90" w:rsidRPr="001C1230">
              <w:rPr>
                <w:rFonts w:ascii="Times New Roman" w:hAnsi="Times New Roman"/>
                <w:sz w:val="20"/>
                <w:szCs w:val="20"/>
              </w:rPr>
              <w:t>, установленным договором займа (аннуитет, индивидуальный)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9E3162" w14:textId="08E3C375" w:rsidR="00B1259A" w:rsidRPr="001C1230" w:rsidRDefault="00711AE6" w:rsidP="0095161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п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>роценты за пользование денежными средствами начисляются за каждый календарный день фактического пользования займом на фактический остаток задолженн</w:t>
            </w:r>
            <w:r w:rsidR="004B7683" w:rsidRPr="001C1230">
              <w:rPr>
                <w:rFonts w:ascii="Times New Roman" w:hAnsi="Times New Roman"/>
                <w:sz w:val="20"/>
                <w:szCs w:val="20"/>
              </w:rPr>
              <w:t>ости на начало дня</w:t>
            </w:r>
            <w:r w:rsidR="00B66A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D94967" w14:textId="24CE2411" w:rsidR="004A07A9" w:rsidRPr="00951611" w:rsidRDefault="00711AE6" w:rsidP="0095161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Symbol" w:hAnsi="Symbol" w:cs="Arial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п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 xml:space="preserve">роценты за пользование денежными средствами </w:t>
            </w:r>
            <w:r w:rsidR="004B7683" w:rsidRPr="001C1230">
              <w:rPr>
                <w:rFonts w:ascii="Times New Roman" w:hAnsi="Times New Roman"/>
                <w:sz w:val="20"/>
                <w:szCs w:val="20"/>
              </w:rPr>
              <w:t>уплачиваются ежемесячно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772F5" w:rsidRPr="00CA783A" w14:paraId="485E3DB7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BDDF9E" w14:textId="77777777" w:rsidR="007772F5" w:rsidRPr="00951611" w:rsidRDefault="004E0029" w:rsidP="002C445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lastRenderedPageBreak/>
              <w:t xml:space="preserve">Вид </w:t>
            </w:r>
            <w:r w:rsidR="007772F5"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продукта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38B086" w14:textId="77777777" w:rsidR="007772F5" w:rsidRPr="007772F5" w:rsidRDefault="00F97052" w:rsidP="002C4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Инвестиционный «Приоритетный»</w:t>
            </w:r>
            <w:r w:rsidR="00661BFD" w:rsidRPr="00C75659">
              <w:rPr>
                <w:rFonts w:ascii="Times New Roman" w:hAnsi="Times New Roman"/>
                <w:sz w:val="28"/>
                <w:szCs w:val="20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D8F5E6" w14:textId="77777777" w:rsidR="007772F5" w:rsidRPr="007772F5" w:rsidRDefault="00F97052" w:rsidP="002C4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Инвестиционный «Основной»</w:t>
            </w:r>
          </w:p>
        </w:tc>
      </w:tr>
      <w:tr w:rsidR="002C4458" w:rsidRPr="00CA783A" w14:paraId="075C479D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72620E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Максимальный срок </w:t>
            </w:r>
            <w:proofErr w:type="spellStart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микрозайма</w:t>
            </w:r>
            <w:proofErr w:type="spellEnd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A55A" w14:textId="1ED118A9" w:rsidR="002C4458" w:rsidRPr="00CA783A" w:rsidRDefault="002C4458" w:rsidP="0095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месяцев</w:t>
            </w:r>
            <w:r w:rsidR="005C0A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C4458" w:rsidRPr="00CA783A" w14:paraId="57B96BA8" w14:textId="77777777" w:rsidTr="00985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4044F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Лимит задолженности</w:t>
            </w:r>
          </w:p>
          <w:p w14:paraId="38964655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на Заемщика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F9A0" w14:textId="62549ABF" w:rsidR="002C4458" w:rsidRPr="00CA783A" w:rsidRDefault="00B66A94" w:rsidP="009516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2C4458">
              <w:rPr>
                <w:rFonts w:ascii="Times New Roman" w:hAnsi="Times New Roman"/>
                <w:bCs/>
                <w:sz w:val="20"/>
                <w:szCs w:val="20"/>
              </w:rPr>
              <w:t xml:space="preserve">т 50 тыс. руб. до 5 </w:t>
            </w:r>
            <w:proofErr w:type="gramStart"/>
            <w:r w:rsidR="002C4458">
              <w:rPr>
                <w:rFonts w:ascii="Times New Roman" w:hAnsi="Times New Roman"/>
                <w:bCs/>
                <w:sz w:val="20"/>
                <w:szCs w:val="20"/>
              </w:rPr>
              <w:t>млн</w:t>
            </w:r>
            <w:proofErr w:type="gramEnd"/>
            <w:r w:rsidR="002C4458">
              <w:rPr>
                <w:rFonts w:ascii="Times New Roman" w:hAnsi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2C4458" w:rsidRPr="00CA783A" w14:paraId="10D82558" w14:textId="77777777" w:rsidTr="00985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63E1AC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Лимит задолженности</w:t>
            </w:r>
          </w:p>
          <w:p w14:paraId="35D574ED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на группу связанных лиц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823C" w14:textId="3240F5FA" w:rsidR="002C4458" w:rsidRPr="00CA783A" w:rsidRDefault="00B66A94" w:rsidP="00A67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661BFD">
              <w:rPr>
                <w:rFonts w:ascii="Times New Roman" w:hAnsi="Times New Roman"/>
                <w:bCs/>
                <w:sz w:val="20"/>
                <w:szCs w:val="20"/>
              </w:rPr>
              <w:t xml:space="preserve">т 50 тыс. руб. до </w:t>
            </w:r>
            <w:r w:rsidR="00661BFD" w:rsidRPr="00741D1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A67E6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2C4458" w:rsidRPr="00741D1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2C4458" w:rsidRPr="00741D1A">
              <w:rPr>
                <w:rFonts w:ascii="Times New Roman" w:hAnsi="Times New Roman"/>
                <w:bCs/>
                <w:sz w:val="20"/>
                <w:szCs w:val="20"/>
              </w:rPr>
              <w:t>млн</w:t>
            </w:r>
            <w:proofErr w:type="gramEnd"/>
            <w:r w:rsidR="002C4458">
              <w:rPr>
                <w:rFonts w:ascii="Times New Roman" w:hAnsi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204D0C" w:rsidRPr="00CA783A" w14:paraId="08EC511D" w14:textId="77777777" w:rsidTr="0020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1D69E0" w14:textId="77777777" w:rsidR="00204D0C" w:rsidRPr="00951611" w:rsidRDefault="00204D0C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  <w:lang w:val="en-US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Процентная ставка, </w:t>
            </w:r>
            <w:proofErr w:type="gramStart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годовых</w:t>
            </w:r>
            <w:proofErr w:type="gramEnd"/>
            <w:r w:rsidRPr="008E52DF">
              <w:rPr>
                <w:rFonts w:ascii="Times New Roman" w:hAnsi="Times New Roman"/>
                <w:sz w:val="20"/>
                <w:szCs w:val="20"/>
              </w:rPr>
              <w:t>*</w:t>
            </w:r>
            <w:r w:rsidR="00CF4648" w:rsidRPr="008E52DF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73861A" w14:textId="77777777" w:rsidR="00204D0C" w:rsidRPr="000E725F" w:rsidRDefault="00204D0C" w:rsidP="009516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наличии залогового обеспечения</w:t>
            </w:r>
          </w:p>
        </w:tc>
      </w:tr>
      <w:tr w:rsidR="00204D0C" w:rsidRPr="00CA783A" w14:paraId="72B8736C" w14:textId="77777777" w:rsidTr="0020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F08BD1" w14:textId="77777777" w:rsidR="00204D0C" w:rsidRPr="00951611" w:rsidRDefault="00204D0C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30B94D" w14:textId="77777777" w:rsidR="00204D0C" w:rsidRPr="00190A9E" w:rsidRDefault="00204D0C" w:rsidP="00562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A9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1/4</w:t>
            </w:r>
            <w:r w:rsidRPr="00190A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 xml:space="preserve">ключевой ставки Банка России, установленной на дату заключения договора займа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+ 3 %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99DC" w14:textId="77777777" w:rsidR="00204D0C" w:rsidRPr="000E725F" w:rsidRDefault="00204D0C" w:rsidP="0095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25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2/3</w:t>
            </w:r>
            <w:r w:rsidRPr="000E725F">
              <w:rPr>
                <w:rFonts w:ascii="Times New Roman" w:hAnsi="Times New Roman"/>
                <w:bCs/>
                <w:sz w:val="20"/>
                <w:szCs w:val="20"/>
              </w:rPr>
              <w:t xml:space="preserve"> ключевой ставки Банка России, установленной на дату заключения договора займа</w:t>
            </w:r>
          </w:p>
        </w:tc>
      </w:tr>
      <w:tr w:rsidR="00204D0C" w:rsidRPr="00CA783A" w14:paraId="282C678C" w14:textId="77777777" w:rsidTr="0020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30E2A8" w14:textId="77777777" w:rsidR="00204D0C" w:rsidRPr="00951611" w:rsidRDefault="00204D0C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741A93" w14:textId="77777777" w:rsidR="00204D0C" w:rsidRPr="000E725F" w:rsidRDefault="00204D0C" w:rsidP="0095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>ри от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сутствии залогового обеспечения</w:t>
            </w:r>
          </w:p>
        </w:tc>
      </w:tr>
      <w:tr w:rsidR="00204D0C" w:rsidRPr="00CA783A" w14:paraId="1D063351" w14:textId="77777777" w:rsidTr="0020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8D4026" w14:textId="77777777" w:rsidR="00204D0C" w:rsidRPr="00951611" w:rsidRDefault="00204D0C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E2C6ED" w14:textId="77777777" w:rsidR="00204D0C" w:rsidRPr="00190A9E" w:rsidRDefault="00204D0C" w:rsidP="00562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A9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1/2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 xml:space="preserve"> ключевой ставки Банка России, установленной на дату заключения договора займа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32C3" w14:textId="77777777" w:rsidR="00204D0C" w:rsidRPr="000E725F" w:rsidRDefault="00204D0C" w:rsidP="0095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25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3/4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ключевая ставка</w:t>
            </w:r>
            <w:r w:rsidRPr="000E725F">
              <w:rPr>
                <w:rFonts w:ascii="Times New Roman" w:hAnsi="Times New Roman"/>
                <w:bCs/>
                <w:sz w:val="20"/>
                <w:szCs w:val="20"/>
              </w:rPr>
              <w:t xml:space="preserve"> Банка России, установленной на дату заключения договора займа</w:t>
            </w:r>
          </w:p>
        </w:tc>
      </w:tr>
      <w:tr w:rsidR="002C4458" w:rsidRPr="00CA783A" w14:paraId="55DB31A7" w14:textId="77777777" w:rsidTr="00593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EB610D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Отсрочка погашения  долга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F6F329" w14:textId="2351C78A" w:rsidR="002C4458" w:rsidRPr="0053111C" w:rsidRDefault="00B66A94" w:rsidP="009516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75BEA">
              <w:rPr>
                <w:rFonts w:ascii="Times New Roman" w:hAnsi="Times New Roman"/>
                <w:sz w:val="20"/>
                <w:szCs w:val="20"/>
              </w:rPr>
              <w:t>о 4 (ч</w:t>
            </w:r>
            <w:r w:rsidR="002C4458" w:rsidRPr="00A15BCB">
              <w:rPr>
                <w:rFonts w:ascii="Times New Roman" w:hAnsi="Times New Roman"/>
                <w:sz w:val="20"/>
                <w:szCs w:val="20"/>
              </w:rPr>
              <w:t>етырех) месяцев отсрочка погашения суммы основного долга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C4458" w:rsidRPr="00CA783A" w14:paraId="185F8C05" w14:textId="77777777" w:rsidTr="00AC5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3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0CB1A1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Цель </w:t>
            </w:r>
            <w:proofErr w:type="spellStart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микрозайма</w:t>
            </w:r>
            <w:proofErr w:type="spellEnd"/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3EC9" w14:textId="2CF0A5B0" w:rsidR="002C4458" w:rsidRPr="00534E4F" w:rsidRDefault="002C4458" w:rsidP="00951611">
            <w:pPr>
              <w:tabs>
                <w:tab w:val="left" w:pos="683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4E4F">
              <w:rPr>
                <w:rFonts w:ascii="Times New Roman" w:hAnsi="Times New Roman"/>
                <w:sz w:val="20"/>
                <w:szCs w:val="20"/>
              </w:rPr>
              <w:t>Приобретение, создание (строительство) основных средств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0081EF" w14:textId="77777777" w:rsidR="002C4458" w:rsidRPr="00534E4F" w:rsidRDefault="002C4458" w:rsidP="00951611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856A4B" w14:textId="77777777" w:rsidR="002C4458" w:rsidRPr="00534E4F" w:rsidRDefault="002C4458" w:rsidP="00951611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4E4F">
              <w:rPr>
                <w:rFonts w:ascii="Times New Roman" w:hAnsi="Times New Roman"/>
                <w:bCs/>
                <w:sz w:val="18"/>
                <w:szCs w:val="18"/>
              </w:rPr>
              <w:t xml:space="preserve">Под </w:t>
            </w:r>
            <w:r w:rsidRPr="00534E4F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>основными средствами</w:t>
            </w:r>
            <w:r w:rsidRPr="00534E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34E4F">
              <w:rPr>
                <w:rFonts w:ascii="Times New Roman" w:hAnsi="Times New Roman"/>
                <w:bCs/>
                <w:sz w:val="18"/>
                <w:szCs w:val="18"/>
              </w:rPr>
              <w:t>понимаются</w:t>
            </w:r>
            <w:r w:rsidRPr="00534E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34E4F">
              <w:rPr>
                <w:rFonts w:ascii="Times New Roman" w:hAnsi="Times New Roman"/>
                <w:sz w:val="18"/>
                <w:szCs w:val="18"/>
              </w:rPr>
              <w:t xml:space="preserve">активы, предназначенные </w:t>
            </w:r>
            <w:r w:rsidRPr="00534E4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для использования при производстве и (или) продаже продукции (товаров), выполнении работ и (или) оказании услуг</w:t>
            </w:r>
            <w:r w:rsidRPr="00534E4F">
              <w:rPr>
                <w:rFonts w:ascii="Times New Roman" w:hAnsi="Times New Roman"/>
                <w:bCs/>
                <w:sz w:val="18"/>
                <w:szCs w:val="18"/>
              </w:rPr>
              <w:t>, отвечающие  в совокупности следующим критериям:</w:t>
            </w:r>
          </w:p>
          <w:p w14:paraId="374B8920" w14:textId="0B9611A2" w:rsidR="002C4458" w:rsidRPr="00534E4F" w:rsidRDefault="002C4458" w:rsidP="00951611">
            <w:pPr>
              <w:tabs>
                <w:tab w:val="left" w:pos="5529"/>
              </w:tabs>
              <w:spacing w:after="0" w:line="240" w:lineRule="auto"/>
              <w:ind w:left="36"/>
              <w:rPr>
                <w:rFonts w:ascii="Times New Roman" w:hAnsi="Times New Roman"/>
                <w:sz w:val="18"/>
                <w:szCs w:val="18"/>
              </w:rPr>
            </w:pPr>
            <w:r w:rsidRPr="00534E4F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534E4F">
              <w:rPr>
                <w:rFonts w:ascii="Times New Roman" w:hAnsi="Times New Roman"/>
                <w:sz w:val="18"/>
                <w:szCs w:val="18"/>
              </w:rPr>
              <w:t xml:space="preserve"> срок полезного использования не менее 12</w:t>
            </w:r>
            <w:r w:rsidR="00136579">
              <w:rPr>
                <w:rFonts w:ascii="Times New Roman" w:hAnsi="Times New Roman"/>
                <w:sz w:val="18"/>
                <w:szCs w:val="18"/>
              </w:rPr>
              <w:t xml:space="preserve"> (двенадцати) </w:t>
            </w:r>
            <w:r w:rsidRPr="00534E4F">
              <w:rPr>
                <w:rFonts w:ascii="Times New Roman" w:hAnsi="Times New Roman"/>
                <w:sz w:val="18"/>
                <w:szCs w:val="18"/>
              </w:rPr>
              <w:t>месяцев;</w:t>
            </w:r>
          </w:p>
          <w:p w14:paraId="67D86E35" w14:textId="1FFF745F" w:rsidR="002C4458" w:rsidRPr="00534E4F" w:rsidRDefault="00775BEA" w:rsidP="00951611">
            <w:pPr>
              <w:tabs>
                <w:tab w:val="left" w:pos="5529"/>
              </w:tabs>
              <w:spacing w:after="0" w:line="240" w:lineRule="auto"/>
              <w:ind w:lef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стоимость не менее 20 тыс.</w:t>
            </w:r>
            <w:r w:rsidR="002C4458" w:rsidRPr="00534E4F">
              <w:rPr>
                <w:rFonts w:ascii="Times New Roman" w:hAnsi="Times New Roman"/>
                <w:sz w:val="18"/>
                <w:szCs w:val="18"/>
              </w:rPr>
              <w:t xml:space="preserve"> руб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2C4458" w:rsidRPr="00534E4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508E26F" w14:textId="77777777" w:rsidR="002C4458" w:rsidRPr="00534E4F" w:rsidRDefault="002C4458" w:rsidP="00951611">
            <w:pPr>
              <w:tabs>
                <w:tab w:val="left" w:pos="5529"/>
              </w:tabs>
              <w:spacing w:after="0" w:line="240" w:lineRule="auto"/>
              <w:ind w:left="36"/>
              <w:rPr>
                <w:rFonts w:ascii="Times New Roman" w:hAnsi="Times New Roman"/>
                <w:sz w:val="18"/>
                <w:szCs w:val="18"/>
              </w:rPr>
            </w:pPr>
            <w:r w:rsidRPr="00534E4F">
              <w:rPr>
                <w:rFonts w:ascii="Times New Roman" w:hAnsi="Times New Roman"/>
                <w:sz w:val="18"/>
                <w:szCs w:val="18"/>
              </w:rPr>
              <w:t>- не предназначенные для последующей продажи (реализации).</w:t>
            </w:r>
          </w:p>
          <w:p w14:paraId="70E3ADD7" w14:textId="77777777" w:rsidR="002C4458" w:rsidRPr="00534E4F" w:rsidRDefault="002C4458" w:rsidP="00951611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90F223" w14:textId="77777777" w:rsidR="002C4458" w:rsidRPr="00534E4F" w:rsidRDefault="002C4458" w:rsidP="009E7F1F">
            <w:pPr>
              <w:tabs>
                <w:tab w:val="left" w:pos="5529"/>
              </w:tabs>
              <w:spacing w:after="0" w:line="240" w:lineRule="auto"/>
              <w:ind w:left="36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34E4F">
              <w:rPr>
                <w:rFonts w:ascii="Times New Roman" w:hAnsi="Times New Roman"/>
                <w:sz w:val="18"/>
                <w:szCs w:val="18"/>
                <w:u w:val="single"/>
              </w:rPr>
              <w:t>Виды основных средств:</w:t>
            </w:r>
          </w:p>
          <w:p w14:paraId="78A60B3E" w14:textId="77777777" w:rsidR="002C4458" w:rsidRPr="00534E4F" w:rsidRDefault="002C4458" w:rsidP="009E7F1F">
            <w:pPr>
              <w:tabs>
                <w:tab w:val="left" w:pos="5529"/>
              </w:tabs>
              <w:spacing w:after="0" w:line="240" w:lineRule="auto"/>
              <w:ind w:left="178" w:hanging="142"/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534E4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производственное и технологическое оборудование;</w:t>
            </w:r>
          </w:p>
          <w:p w14:paraId="150A4442" w14:textId="77777777" w:rsidR="002C4458" w:rsidRPr="00534E4F" w:rsidRDefault="002C4458" w:rsidP="009E7F1F">
            <w:pPr>
              <w:tabs>
                <w:tab w:val="left" w:pos="5529"/>
              </w:tabs>
              <w:spacing w:after="0" w:line="240" w:lineRule="auto"/>
              <w:ind w:left="178" w:hanging="142"/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- автотранспорт (легковые, специальные и </w:t>
            </w:r>
            <w:r w:rsidR="00534E4F"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специализированные транспортные </w:t>
            </w: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средства (прицепы и полуприцепы к нему));</w:t>
            </w:r>
          </w:p>
          <w:p w14:paraId="45E95FD5" w14:textId="77777777" w:rsidR="002C4458" w:rsidRPr="00534E4F" w:rsidRDefault="002C4458" w:rsidP="009E7F1F">
            <w:pPr>
              <w:tabs>
                <w:tab w:val="left" w:pos="5529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- нежилые помещения, здания (в том числе доля в праве собственност</w:t>
            </w:r>
            <w:r w:rsidR="00534E4F"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и) и </w:t>
            </w: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сооружения</w:t>
            </w:r>
            <w:r w:rsidRPr="00534E4F">
              <w:rPr>
                <w:rStyle w:val="a8"/>
                <w:rFonts w:ascii="Times New Roman" w:hAnsi="Times New Roman"/>
                <w:color w:val="333333"/>
                <w:sz w:val="18"/>
                <w:szCs w:val="18"/>
                <w:bdr w:val="none" w:sz="0" w:space="0" w:color="auto" w:frame="1"/>
              </w:rPr>
              <w:t>,</w:t>
            </w: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 используемые для пред</w:t>
            </w:r>
            <w:r w:rsidR="00534E4F"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принимател</w:t>
            </w:r>
            <w:r w:rsidR="00534E4F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ьской деятельности, в том числе </w:t>
            </w: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присоединение к инженерным сетям (эле</w:t>
            </w:r>
            <w:r w:rsidR="00534E4F"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ктрические сети, газоснабжение, </w:t>
            </w: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водоснабжение, водоотведение, теплоснабжение);</w:t>
            </w:r>
          </w:p>
          <w:p w14:paraId="250E4FA3" w14:textId="77777777" w:rsidR="002C4458" w:rsidRPr="00534E4F" w:rsidRDefault="002C4458" w:rsidP="009E7F1F">
            <w:pPr>
              <w:tabs>
                <w:tab w:val="left" w:pos="5529"/>
              </w:tabs>
              <w:spacing w:after="0" w:line="240" w:lineRule="auto"/>
              <w:ind w:left="178" w:hanging="142"/>
              <w:jc w:val="both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- земли, используемые для предпринимательской деятельности;</w:t>
            </w:r>
          </w:p>
          <w:p w14:paraId="3111F137" w14:textId="77777777" w:rsidR="002C4458" w:rsidRPr="002C4458" w:rsidRDefault="002C4458" w:rsidP="009E7F1F">
            <w:pPr>
              <w:spacing w:after="0" w:line="240" w:lineRule="auto"/>
              <w:ind w:left="178" w:hanging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34E4F">
              <w:rPr>
                <w:rFonts w:ascii="Times New Roman" w:hAnsi="Times New Roman"/>
                <w:color w:val="333333"/>
                <w:sz w:val="18"/>
                <w:szCs w:val="18"/>
              </w:rPr>
              <w:t>- иные основные средства, используемые в предпринимательской деятельности.</w:t>
            </w:r>
          </w:p>
        </w:tc>
      </w:tr>
      <w:tr w:rsidR="002C4458" w:rsidRPr="00CA783A" w14:paraId="67754162" w14:textId="77777777" w:rsidTr="00593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8B68C5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Срок предоставления отчета о целевом использовании средств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15F3" w14:textId="7D6A9913" w:rsidR="002C4458" w:rsidRPr="00642B6C" w:rsidRDefault="00B66A94" w:rsidP="00951611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2C4458" w:rsidRPr="00642B6C">
              <w:rPr>
                <w:bCs/>
                <w:sz w:val="20"/>
                <w:szCs w:val="20"/>
              </w:rPr>
              <w:t xml:space="preserve">е более </w:t>
            </w:r>
            <w:r w:rsidR="002C4458">
              <w:rPr>
                <w:bCs/>
                <w:sz w:val="20"/>
                <w:szCs w:val="20"/>
              </w:rPr>
              <w:t xml:space="preserve">365 </w:t>
            </w:r>
            <w:r w:rsidR="00775BEA">
              <w:rPr>
                <w:bCs/>
                <w:sz w:val="20"/>
                <w:szCs w:val="20"/>
              </w:rPr>
              <w:t xml:space="preserve">(трехсот шестидесяти пяти) календарных </w:t>
            </w:r>
            <w:r w:rsidR="002C4458">
              <w:rPr>
                <w:bCs/>
                <w:sz w:val="20"/>
                <w:szCs w:val="20"/>
              </w:rPr>
              <w:t>дней</w:t>
            </w:r>
            <w:r w:rsidR="002C4458" w:rsidRPr="00642B6C">
              <w:rPr>
                <w:bCs/>
                <w:sz w:val="20"/>
                <w:szCs w:val="20"/>
              </w:rPr>
              <w:t>, но не позднее даты окончания договора займа</w:t>
            </w:r>
            <w:r>
              <w:rPr>
                <w:bCs/>
                <w:sz w:val="20"/>
                <w:szCs w:val="20"/>
              </w:rPr>
              <w:t>.</w:t>
            </w:r>
            <w:r w:rsidR="002C4458" w:rsidRPr="00642B6C">
              <w:rPr>
                <w:bCs/>
                <w:sz w:val="20"/>
                <w:szCs w:val="20"/>
              </w:rPr>
              <w:t xml:space="preserve"> </w:t>
            </w:r>
          </w:p>
          <w:p w14:paraId="7639D095" w14:textId="77777777" w:rsidR="002C4458" w:rsidRPr="00642B6C" w:rsidRDefault="002C4458" w:rsidP="00951611">
            <w:pPr>
              <w:pStyle w:val="Default"/>
              <w:rPr>
                <w:bCs/>
                <w:sz w:val="20"/>
                <w:szCs w:val="20"/>
              </w:rPr>
            </w:pPr>
            <w:r w:rsidRPr="00642B6C">
              <w:rPr>
                <w:bCs/>
                <w:sz w:val="20"/>
                <w:szCs w:val="20"/>
              </w:rPr>
              <w:t xml:space="preserve"> </w:t>
            </w:r>
          </w:p>
          <w:p w14:paraId="2303E502" w14:textId="18C0B3A9" w:rsidR="002C4458" w:rsidRPr="005120A2" w:rsidRDefault="002C4458" w:rsidP="00B66A94">
            <w:pPr>
              <w:pStyle w:val="Default"/>
              <w:jc w:val="both"/>
              <w:rPr>
                <w:sz w:val="20"/>
                <w:szCs w:val="20"/>
              </w:rPr>
            </w:pPr>
            <w:r w:rsidRPr="00642B6C">
              <w:rPr>
                <w:sz w:val="20"/>
                <w:szCs w:val="20"/>
              </w:rPr>
              <w:t xml:space="preserve">При предоставлении </w:t>
            </w:r>
            <w:proofErr w:type="spellStart"/>
            <w:r>
              <w:rPr>
                <w:sz w:val="20"/>
                <w:szCs w:val="20"/>
              </w:rPr>
              <w:t>микро</w:t>
            </w:r>
            <w:r w:rsidRPr="00642B6C">
              <w:rPr>
                <w:sz w:val="20"/>
                <w:szCs w:val="20"/>
              </w:rPr>
              <w:t>займа</w:t>
            </w:r>
            <w:proofErr w:type="spellEnd"/>
            <w:r w:rsidRPr="00642B6C">
              <w:rPr>
                <w:sz w:val="20"/>
                <w:szCs w:val="20"/>
              </w:rPr>
              <w:t xml:space="preserve"> на цели создания (строительства, реконструкции) объекта недвижимого имущества, Заемщик дополнительно к отчету о целевом использовании средств, предо</w:t>
            </w:r>
            <w:r w:rsidR="00775BEA">
              <w:rPr>
                <w:sz w:val="20"/>
                <w:szCs w:val="20"/>
              </w:rPr>
              <w:t>ставляет в срок не позднее  6 (ш</w:t>
            </w:r>
            <w:r w:rsidRPr="00642B6C">
              <w:rPr>
                <w:sz w:val="20"/>
                <w:szCs w:val="20"/>
              </w:rPr>
              <w:t>ести) месяцев до даты окончания договора займа, документы, подтверждающие приобретение в установленном законом порядке права на объект недвижимости</w:t>
            </w:r>
            <w:r w:rsidR="00B66A94">
              <w:rPr>
                <w:sz w:val="20"/>
                <w:szCs w:val="20"/>
              </w:rPr>
              <w:t>.</w:t>
            </w:r>
          </w:p>
        </w:tc>
      </w:tr>
      <w:tr w:rsidR="002C4458" w:rsidRPr="00CA783A" w14:paraId="30277D6A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5A4DA1" w14:textId="29711A81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Требования к </w:t>
            </w:r>
            <w:proofErr w:type="spellStart"/>
            <w:r w:rsidRPr="00951611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софинансированию</w:t>
            </w:r>
            <w:proofErr w:type="spellEnd"/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EB15" w14:textId="27EC01C5" w:rsidR="002C4458" w:rsidRDefault="002C4458" w:rsidP="00951611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инвестиционного проекта со стороны Субъекта МСП не </w:t>
            </w:r>
            <w:r>
              <w:rPr>
                <w:sz w:val="20"/>
                <w:szCs w:val="20"/>
                <w:shd w:val="clear" w:color="auto" w:fill="FFFFFF" w:themeFill="background1"/>
              </w:rPr>
              <w:t>менее 20 % от</w:t>
            </w:r>
            <w:r>
              <w:rPr>
                <w:sz w:val="20"/>
                <w:szCs w:val="20"/>
              </w:rPr>
              <w:t xml:space="preserve"> размера </w:t>
            </w:r>
            <w:proofErr w:type="spellStart"/>
            <w:r>
              <w:rPr>
                <w:sz w:val="20"/>
                <w:szCs w:val="20"/>
              </w:rPr>
              <w:t>микрозайма</w:t>
            </w:r>
            <w:proofErr w:type="spellEnd"/>
            <w:r>
              <w:rPr>
                <w:sz w:val="20"/>
                <w:szCs w:val="20"/>
              </w:rPr>
              <w:t>, планируемого к получению</w:t>
            </w:r>
            <w:r w:rsidR="00B66A94">
              <w:rPr>
                <w:sz w:val="20"/>
                <w:szCs w:val="20"/>
              </w:rPr>
              <w:t>.</w:t>
            </w:r>
          </w:p>
        </w:tc>
      </w:tr>
      <w:tr w:rsidR="002C4458" w:rsidRPr="00CA783A" w14:paraId="43FBE9E1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1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031DDA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lastRenderedPageBreak/>
              <w:t xml:space="preserve">- Виды расходов и срок на осуществление мероприятий по </w:t>
            </w:r>
            <w:proofErr w:type="spellStart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софинансированию</w:t>
            </w:r>
            <w:proofErr w:type="spellEnd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инвестиционного проекта Заемщиком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25EF" w14:textId="0548568F" w:rsidR="002C4458" w:rsidRPr="00642B6C" w:rsidRDefault="002C4458" w:rsidP="00B66A94">
            <w:p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B6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42B6C">
              <w:rPr>
                <w:rFonts w:ascii="Times New Roman" w:hAnsi="Times New Roman"/>
                <w:sz w:val="20"/>
                <w:szCs w:val="20"/>
                <w:u w:val="single"/>
              </w:rPr>
              <w:t>Произведенные расходы</w:t>
            </w:r>
            <w:r w:rsidR="00B02D6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642B6C"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r w:rsidRPr="00642B6C">
              <w:rPr>
                <w:rFonts w:ascii="Times New Roman" w:hAnsi="Times New Roman"/>
                <w:bCs/>
                <w:sz w:val="20"/>
                <w:szCs w:val="20"/>
              </w:rPr>
              <w:t>Субъекта МСП</w:t>
            </w:r>
            <w:r w:rsidRPr="00642B6C">
              <w:rPr>
                <w:rFonts w:ascii="Times New Roman" w:hAnsi="Times New Roman"/>
                <w:sz w:val="20"/>
                <w:szCs w:val="20"/>
              </w:rPr>
              <w:t>, произведенные не позднее 6</w:t>
            </w:r>
            <w:r w:rsidR="00775BEA">
              <w:rPr>
                <w:rFonts w:ascii="Times New Roman" w:hAnsi="Times New Roman"/>
                <w:sz w:val="20"/>
                <w:szCs w:val="20"/>
              </w:rPr>
              <w:t xml:space="preserve"> (ш</w:t>
            </w:r>
            <w:r>
              <w:rPr>
                <w:rFonts w:ascii="Times New Roman" w:hAnsi="Times New Roman"/>
                <w:sz w:val="20"/>
                <w:szCs w:val="20"/>
              </w:rPr>
              <w:t>ести)</w:t>
            </w:r>
            <w:r w:rsidRPr="00642B6C">
              <w:rPr>
                <w:rFonts w:ascii="Times New Roman" w:hAnsi="Times New Roman"/>
                <w:sz w:val="20"/>
                <w:szCs w:val="20"/>
              </w:rPr>
              <w:t xml:space="preserve"> месяцев </w:t>
            </w:r>
            <w:r w:rsidR="00534E4F">
              <w:rPr>
                <w:rFonts w:ascii="Times New Roman" w:hAnsi="Times New Roman"/>
                <w:sz w:val="20"/>
                <w:szCs w:val="20"/>
              </w:rPr>
              <w:t xml:space="preserve">до даты подачи в Фонд заявки на </w:t>
            </w:r>
            <w:r w:rsidRPr="00642B6C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proofErr w:type="spellStart"/>
            <w:r w:rsidRPr="00642B6C">
              <w:rPr>
                <w:rFonts w:ascii="Times New Roman" w:hAnsi="Times New Roman"/>
                <w:sz w:val="20"/>
                <w:szCs w:val="20"/>
              </w:rPr>
              <w:t>микрозайма</w:t>
            </w:r>
            <w:proofErr w:type="spellEnd"/>
            <w:r w:rsidRPr="00642B6C">
              <w:rPr>
                <w:rFonts w:ascii="Times New Roman" w:hAnsi="Times New Roman"/>
                <w:sz w:val="20"/>
                <w:szCs w:val="20"/>
              </w:rPr>
              <w:t xml:space="preserve"> (или до даты заключения договора займа)</w:t>
            </w:r>
            <w:r w:rsidR="00B66A9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C537D6" w14:textId="5C25AB47" w:rsidR="002C4458" w:rsidRDefault="002C4458" w:rsidP="00B02D64">
            <w:pPr>
              <w:pStyle w:val="Default"/>
              <w:ind w:left="176" w:hanging="176"/>
              <w:jc w:val="both"/>
              <w:rPr>
                <w:bCs/>
                <w:sz w:val="20"/>
                <w:szCs w:val="20"/>
              </w:rPr>
            </w:pPr>
            <w:r w:rsidRPr="00642B6C">
              <w:rPr>
                <w:sz w:val="20"/>
                <w:szCs w:val="20"/>
              </w:rPr>
              <w:t xml:space="preserve">• </w:t>
            </w:r>
            <w:r w:rsidRPr="00642B6C">
              <w:rPr>
                <w:bCs/>
                <w:sz w:val="20"/>
                <w:szCs w:val="20"/>
                <w:u w:val="single"/>
              </w:rPr>
              <w:t>Планируемые затраты</w:t>
            </w:r>
            <w:r w:rsidR="00B02D64">
              <w:rPr>
                <w:bCs/>
                <w:sz w:val="20"/>
                <w:szCs w:val="20"/>
                <w:u w:val="single"/>
              </w:rPr>
              <w:t xml:space="preserve"> </w:t>
            </w:r>
            <w:r w:rsidR="00B02D64">
              <w:rPr>
                <w:bCs/>
                <w:sz w:val="20"/>
                <w:szCs w:val="20"/>
              </w:rPr>
              <w:t xml:space="preserve">- </w:t>
            </w:r>
            <w:r w:rsidRPr="00642B6C">
              <w:rPr>
                <w:bCs/>
                <w:sz w:val="20"/>
                <w:szCs w:val="20"/>
              </w:rPr>
              <w:t>будущие затраты Субъекта МСП, произведенные в течение 3</w:t>
            </w:r>
            <w:r w:rsidR="00775BEA">
              <w:rPr>
                <w:bCs/>
                <w:sz w:val="20"/>
                <w:szCs w:val="20"/>
              </w:rPr>
              <w:t xml:space="preserve"> (т</w:t>
            </w:r>
            <w:r>
              <w:rPr>
                <w:bCs/>
                <w:sz w:val="20"/>
                <w:szCs w:val="20"/>
              </w:rPr>
              <w:t>рех)</w:t>
            </w:r>
            <w:r w:rsidRPr="00642B6C">
              <w:rPr>
                <w:bCs/>
                <w:sz w:val="20"/>
                <w:szCs w:val="20"/>
              </w:rPr>
              <w:t xml:space="preserve"> месяцев с момента предоставления Фондом </w:t>
            </w:r>
            <w:proofErr w:type="spellStart"/>
            <w:r>
              <w:rPr>
                <w:bCs/>
                <w:sz w:val="20"/>
                <w:szCs w:val="20"/>
              </w:rPr>
              <w:t>микрозайма</w:t>
            </w:r>
            <w:proofErr w:type="spellEnd"/>
            <w:r w:rsidR="00B66A94">
              <w:rPr>
                <w:bCs/>
                <w:sz w:val="20"/>
                <w:szCs w:val="20"/>
              </w:rPr>
              <w:t>.</w:t>
            </w:r>
          </w:p>
        </w:tc>
      </w:tr>
      <w:tr w:rsidR="002C4458" w:rsidRPr="00CA783A" w14:paraId="1029ED6F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82E1D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- </w:t>
            </w: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Последствия неисполнения условия о </w:t>
            </w:r>
            <w:proofErr w:type="spellStart"/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софинанссировании</w:t>
            </w:r>
            <w:proofErr w:type="spellEnd"/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CC0E" w14:textId="2A0DEDF9" w:rsidR="002C4458" w:rsidRDefault="002C4458" w:rsidP="00B66A94">
            <w:pPr>
              <w:pStyle w:val="Default"/>
              <w:jc w:val="both"/>
              <w:rPr>
                <w:bCs/>
                <w:sz w:val="20"/>
                <w:szCs w:val="20"/>
              </w:rPr>
            </w:pPr>
            <w:proofErr w:type="gramStart"/>
            <w:r w:rsidRPr="00137CEB">
              <w:rPr>
                <w:bCs/>
                <w:sz w:val="20"/>
                <w:szCs w:val="20"/>
              </w:rPr>
              <w:t xml:space="preserve">При невыполнении Заемщиком своих обязательств в части </w:t>
            </w:r>
            <w:proofErr w:type="spellStart"/>
            <w:r w:rsidRPr="00137CEB">
              <w:rPr>
                <w:bCs/>
                <w:sz w:val="20"/>
                <w:szCs w:val="20"/>
              </w:rPr>
              <w:t>софинансирования</w:t>
            </w:r>
            <w:proofErr w:type="spellEnd"/>
            <w:r w:rsidRPr="00137CEB">
              <w:rPr>
                <w:bCs/>
                <w:sz w:val="20"/>
                <w:szCs w:val="20"/>
              </w:rPr>
              <w:t xml:space="preserve"> инвестиционного проекта (планируемые затраты) - </w:t>
            </w:r>
            <w:r>
              <w:rPr>
                <w:bCs/>
                <w:sz w:val="20"/>
                <w:szCs w:val="20"/>
              </w:rPr>
              <w:t>З</w:t>
            </w:r>
            <w:r w:rsidRPr="00137CEB">
              <w:rPr>
                <w:bCs/>
                <w:sz w:val="20"/>
                <w:szCs w:val="20"/>
              </w:rPr>
              <w:t xml:space="preserve">аемщик производит досрочный возврат суммы </w:t>
            </w:r>
            <w:proofErr w:type="spellStart"/>
            <w:r w:rsidRPr="00137CEB">
              <w:rPr>
                <w:bCs/>
                <w:sz w:val="20"/>
                <w:szCs w:val="20"/>
              </w:rPr>
              <w:t>микрозайма</w:t>
            </w:r>
            <w:proofErr w:type="spellEnd"/>
            <w:r w:rsidRPr="00137CE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 выплатой процентов за фактическое пользования </w:t>
            </w:r>
            <w:proofErr w:type="spellStart"/>
            <w:r>
              <w:rPr>
                <w:bCs/>
                <w:sz w:val="20"/>
                <w:szCs w:val="20"/>
              </w:rPr>
              <w:t>микрозаймом</w:t>
            </w:r>
            <w:proofErr w:type="spellEnd"/>
            <w:r w:rsidR="00775BEA">
              <w:rPr>
                <w:bCs/>
                <w:sz w:val="20"/>
                <w:szCs w:val="20"/>
              </w:rPr>
              <w:t>, в течение 5 (п</w:t>
            </w:r>
            <w:r w:rsidRPr="00137CEB">
              <w:rPr>
                <w:bCs/>
                <w:sz w:val="20"/>
                <w:szCs w:val="20"/>
              </w:rPr>
              <w:t xml:space="preserve">яти) дней  с даты, следующей за датой неисполнения условий о </w:t>
            </w:r>
            <w:proofErr w:type="spellStart"/>
            <w:r w:rsidRPr="00137CEB">
              <w:rPr>
                <w:bCs/>
                <w:sz w:val="20"/>
                <w:szCs w:val="20"/>
              </w:rPr>
              <w:t>софинансировании</w:t>
            </w:r>
            <w:proofErr w:type="spellEnd"/>
            <w:r w:rsidR="00B66A94">
              <w:rPr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2C4458" w:rsidRPr="00CA783A" w14:paraId="1EC8FF3D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868594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Залоговое обеспечение от суммы </w:t>
            </w:r>
            <w:proofErr w:type="spellStart"/>
            <w:r w:rsidRPr="00951611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микрозайма</w:t>
            </w:r>
            <w:proofErr w:type="spellEnd"/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8D4" w14:textId="02C2AC5B" w:rsidR="002C4458" w:rsidRDefault="002C4458" w:rsidP="0095161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микро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>займ</w:t>
            </w:r>
            <w:r w:rsidR="00B02D64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proofErr w:type="spellEnd"/>
            <w:r w:rsidR="00B02D64">
              <w:rPr>
                <w:rFonts w:ascii="Times New Roman" w:hAnsi="Times New Roman"/>
                <w:bCs/>
                <w:sz w:val="20"/>
                <w:szCs w:val="20"/>
              </w:rPr>
              <w:t xml:space="preserve"> до 1 </w:t>
            </w:r>
            <w:proofErr w:type="gramStart"/>
            <w:r w:rsidR="00B02D64">
              <w:rPr>
                <w:rFonts w:ascii="Times New Roman" w:hAnsi="Times New Roman"/>
                <w:bCs/>
                <w:sz w:val="20"/>
                <w:szCs w:val="20"/>
              </w:rPr>
              <w:t>млн</w:t>
            </w:r>
            <w:proofErr w:type="gramEnd"/>
            <w:r w:rsidR="00B02D64">
              <w:rPr>
                <w:rFonts w:ascii="Times New Roman" w:hAnsi="Times New Roman"/>
                <w:bCs/>
                <w:sz w:val="20"/>
                <w:szCs w:val="20"/>
              </w:rPr>
              <w:t xml:space="preserve"> руб. (включительно) -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 xml:space="preserve"> 0</w:t>
            </w:r>
            <w:r w:rsidR="00775BE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  <w:r w:rsidR="00B66A94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29BFA398" w14:textId="77777777" w:rsidR="002C4458" w:rsidRPr="00C37F3E" w:rsidRDefault="002C4458" w:rsidP="0095161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F3CB3F" w14:textId="158209AC" w:rsidR="002C4458" w:rsidRPr="00951611" w:rsidRDefault="002C4458" w:rsidP="00951611">
            <w:pPr>
              <w:pStyle w:val="Default"/>
              <w:rPr>
                <w:sz w:val="20"/>
                <w:szCs w:val="20"/>
              </w:rPr>
            </w:pPr>
            <w:r w:rsidRPr="00C37F3E">
              <w:rPr>
                <w:sz w:val="20"/>
                <w:szCs w:val="20"/>
              </w:rPr>
              <w:t xml:space="preserve">• </w:t>
            </w:r>
            <w:r w:rsidR="005D6EBF">
              <w:rPr>
                <w:sz w:val="20"/>
                <w:szCs w:val="20"/>
              </w:rPr>
              <w:t>п</w:t>
            </w:r>
            <w:r w:rsidRPr="00C37F3E">
              <w:rPr>
                <w:sz w:val="20"/>
                <w:szCs w:val="20"/>
              </w:rPr>
              <w:t xml:space="preserve">ри сумме </w:t>
            </w:r>
            <w:proofErr w:type="spellStart"/>
            <w:r>
              <w:rPr>
                <w:sz w:val="20"/>
                <w:szCs w:val="20"/>
              </w:rPr>
              <w:t>микроза</w:t>
            </w:r>
            <w:r w:rsidR="00B02D64">
              <w:rPr>
                <w:sz w:val="20"/>
                <w:szCs w:val="20"/>
              </w:rPr>
              <w:t>йма</w:t>
            </w:r>
            <w:proofErr w:type="spellEnd"/>
            <w:r w:rsidR="00B02D64">
              <w:rPr>
                <w:sz w:val="20"/>
                <w:szCs w:val="20"/>
              </w:rPr>
              <w:t xml:space="preserve"> свыше 1 </w:t>
            </w:r>
            <w:proofErr w:type="gramStart"/>
            <w:r w:rsidR="00B02D64">
              <w:rPr>
                <w:sz w:val="20"/>
                <w:szCs w:val="20"/>
              </w:rPr>
              <w:t>млн</w:t>
            </w:r>
            <w:proofErr w:type="gramEnd"/>
            <w:r w:rsidR="00B02D64">
              <w:rPr>
                <w:sz w:val="20"/>
                <w:szCs w:val="20"/>
              </w:rPr>
              <w:t xml:space="preserve"> руб. -</w:t>
            </w:r>
            <w:r w:rsidRPr="00C37F3E">
              <w:rPr>
                <w:sz w:val="20"/>
                <w:szCs w:val="20"/>
              </w:rPr>
              <w:t xml:space="preserve"> не менее 100</w:t>
            </w:r>
            <w:r w:rsidR="00775BEA">
              <w:rPr>
                <w:sz w:val="20"/>
                <w:szCs w:val="20"/>
              </w:rPr>
              <w:t xml:space="preserve"> </w:t>
            </w:r>
            <w:r w:rsidRPr="00C37F3E">
              <w:rPr>
                <w:sz w:val="20"/>
                <w:szCs w:val="20"/>
              </w:rPr>
              <w:t>%</w:t>
            </w:r>
            <w:r w:rsidR="00B66A94">
              <w:rPr>
                <w:sz w:val="20"/>
                <w:szCs w:val="20"/>
              </w:rPr>
              <w:t>.</w:t>
            </w:r>
          </w:p>
        </w:tc>
      </w:tr>
      <w:tr w:rsidR="002C4458" w:rsidRPr="00CA783A" w14:paraId="740F5507" w14:textId="77777777" w:rsidTr="002C4458">
        <w:tblPrEx>
          <w:tblLook w:val="00A0" w:firstRow="1" w:lastRow="0" w:firstColumn="1" w:lastColumn="0" w:noHBand="0" w:noVBand="0"/>
        </w:tblPrEx>
        <w:trPr>
          <w:trHeight w:val="15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F4885A" w14:textId="77777777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Обеспечение: залог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9939" w14:textId="530C8CBC" w:rsidR="002C4458" w:rsidRPr="00642B6C" w:rsidRDefault="002C4458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B6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6A94">
              <w:rPr>
                <w:rFonts w:ascii="Times New Roman" w:hAnsi="Times New Roman"/>
                <w:sz w:val="20"/>
                <w:szCs w:val="20"/>
              </w:rPr>
              <w:t>Т</w:t>
            </w:r>
            <w:r w:rsidRPr="00642B6C">
              <w:rPr>
                <w:rFonts w:ascii="Times New Roman" w:hAnsi="Times New Roman"/>
                <w:sz w:val="20"/>
                <w:szCs w:val="20"/>
              </w:rPr>
              <w:t>ранспортное средство;</w:t>
            </w:r>
          </w:p>
          <w:p w14:paraId="6E45DFD8" w14:textId="77777777" w:rsidR="002C4458" w:rsidRPr="00642B6C" w:rsidRDefault="002C4458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B6C">
              <w:rPr>
                <w:rFonts w:ascii="Times New Roman" w:hAnsi="Times New Roman"/>
                <w:sz w:val="20"/>
                <w:szCs w:val="20"/>
              </w:rPr>
              <w:t>• оборудование;</w:t>
            </w:r>
          </w:p>
          <w:p w14:paraId="09A94DE5" w14:textId="77777777" w:rsidR="002C4458" w:rsidRPr="00642B6C" w:rsidRDefault="002C4458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B6C">
              <w:rPr>
                <w:rFonts w:ascii="Times New Roman" w:hAnsi="Times New Roman"/>
                <w:sz w:val="20"/>
                <w:szCs w:val="20"/>
              </w:rPr>
              <w:t>• недвижимость;</w:t>
            </w:r>
          </w:p>
          <w:p w14:paraId="3F1E0E4D" w14:textId="237FE762" w:rsidR="002C4458" w:rsidRPr="00642B6C" w:rsidRDefault="002C4458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B6C">
              <w:rPr>
                <w:rFonts w:ascii="Times New Roman" w:hAnsi="Times New Roman"/>
                <w:sz w:val="20"/>
                <w:szCs w:val="20"/>
              </w:rPr>
              <w:t>• имущество, приобретаемое за счет заемных средств Фонда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F177E14" w14:textId="7CDC6155" w:rsidR="002C4458" w:rsidRPr="00642B6C" w:rsidRDefault="002C4458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B6C">
              <w:rPr>
                <w:rFonts w:ascii="Times New Roman" w:hAnsi="Times New Roman"/>
                <w:sz w:val="20"/>
                <w:szCs w:val="20"/>
              </w:rPr>
              <w:t>Залог зарегистрирован и находится  на территории Ярославской области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4CCADD" w14:textId="2D8EE5B4" w:rsidR="002C4458" w:rsidRPr="00951611" w:rsidRDefault="002C4458" w:rsidP="00951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B6C">
              <w:rPr>
                <w:rFonts w:ascii="Times New Roman" w:hAnsi="Times New Roman"/>
                <w:sz w:val="20"/>
                <w:szCs w:val="20"/>
              </w:rPr>
              <w:t>В качестве залогодателей могут выступать третьи лица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28EB8525" w14:textId="77777777" w:rsidTr="0095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7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3DD818" w14:textId="77777777" w:rsidR="009B6463" w:rsidRPr="00951611" w:rsidRDefault="009B6463" w:rsidP="009516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951611">
              <w:rPr>
                <w:rFonts w:ascii="Times New Roman" w:hAnsi="Times New Roman"/>
                <w:b/>
                <w:bCs/>
                <w:sz w:val="20"/>
                <w:szCs w:val="18"/>
              </w:rPr>
              <w:t>Обеспечение: поручительство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CF95" w14:textId="7D95C5F8" w:rsidR="009B6463" w:rsidRPr="00C37F3E" w:rsidRDefault="00B66A94" w:rsidP="00025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9B6463" w:rsidRPr="00C37F3E">
              <w:rPr>
                <w:rFonts w:ascii="Times New Roman" w:hAnsi="Times New Roman"/>
                <w:b/>
                <w:sz w:val="20"/>
                <w:szCs w:val="20"/>
              </w:rPr>
              <w:t>ля  Заемщика (юридическое лицо):</w:t>
            </w:r>
          </w:p>
          <w:p w14:paraId="0103702F" w14:textId="37C0CEEE" w:rsidR="009B6463" w:rsidRPr="00C37F3E" w:rsidRDefault="009B6463" w:rsidP="004659B4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поручительство учредителей/акционеров (с долей участия  в уставном капитале/процентом акций 25</w:t>
            </w:r>
            <w:r w:rsidR="00775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>% и более)</w:t>
            </w:r>
            <w:r w:rsidR="00B66A94">
              <w:rPr>
                <w:rFonts w:ascii="Times New Roman" w:hAnsi="Times New Roman"/>
                <w:sz w:val="20"/>
                <w:szCs w:val="20"/>
              </w:rPr>
              <w:t>;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BF36182" w14:textId="77777777" w:rsidR="009B6463" w:rsidRPr="00C37F3E" w:rsidRDefault="009B6463" w:rsidP="004659B4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 поручительство </w:t>
            </w:r>
            <w:proofErr w:type="spellStart"/>
            <w:r w:rsidRPr="00C37F3E">
              <w:rPr>
                <w:rFonts w:ascii="Times New Roman" w:hAnsi="Times New Roman"/>
                <w:sz w:val="20"/>
                <w:szCs w:val="20"/>
              </w:rPr>
              <w:t>бенефициарных</w:t>
            </w:r>
            <w:proofErr w:type="spellEnd"/>
            <w:r w:rsidRPr="00C37F3E">
              <w:rPr>
                <w:rFonts w:ascii="Times New Roman" w:hAnsi="Times New Roman"/>
                <w:sz w:val="20"/>
                <w:szCs w:val="20"/>
              </w:rPr>
              <w:t xml:space="preserve"> владельцев;</w:t>
            </w:r>
          </w:p>
          <w:p w14:paraId="42F0BF66" w14:textId="268D6F1E" w:rsidR="009B6463" w:rsidRPr="00C37F3E" w:rsidRDefault="009B6463" w:rsidP="00951611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 при лимите задолженности на Заемщика и/или группу связанных лиц от 3 </w:t>
            </w:r>
            <w:proofErr w:type="gramStart"/>
            <w:r w:rsidRPr="00C37F3E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C37F3E">
              <w:rPr>
                <w:rFonts w:ascii="Times New Roman" w:hAnsi="Times New Roman"/>
                <w:sz w:val="20"/>
                <w:szCs w:val="20"/>
              </w:rPr>
              <w:t xml:space="preserve"> руб. - не менее 2 поручителей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4812FA44" w14:textId="77777777" w:rsidTr="00951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5FB527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9BC4" w14:textId="163468C2" w:rsidR="009B6463" w:rsidRPr="00C37F3E" w:rsidRDefault="00B66A94" w:rsidP="00951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9B6463" w:rsidRPr="00C37F3E">
              <w:rPr>
                <w:rFonts w:ascii="Times New Roman" w:hAnsi="Times New Roman"/>
                <w:b/>
                <w:sz w:val="20"/>
                <w:szCs w:val="20"/>
              </w:rPr>
              <w:t>ля Заемщика (индивидуальный предприниматель):</w:t>
            </w:r>
          </w:p>
          <w:p w14:paraId="1A259F1F" w14:textId="77777777" w:rsidR="009B6463" w:rsidRPr="00C37F3E" w:rsidRDefault="009B6463" w:rsidP="00951611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поручительство  супруга (при наличии);</w:t>
            </w:r>
          </w:p>
          <w:p w14:paraId="305637D6" w14:textId="77777777" w:rsidR="009B6463" w:rsidRPr="00C37F3E" w:rsidRDefault="009B6463" w:rsidP="00951611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 поручительство </w:t>
            </w:r>
            <w:proofErr w:type="spellStart"/>
            <w:r w:rsidRPr="00C37F3E">
              <w:rPr>
                <w:rFonts w:ascii="Times New Roman" w:hAnsi="Times New Roman"/>
                <w:sz w:val="20"/>
                <w:szCs w:val="20"/>
              </w:rPr>
              <w:t>бенефициарных</w:t>
            </w:r>
            <w:proofErr w:type="spellEnd"/>
            <w:r w:rsidRPr="00C37F3E">
              <w:rPr>
                <w:rFonts w:ascii="Times New Roman" w:hAnsi="Times New Roman"/>
                <w:sz w:val="20"/>
                <w:szCs w:val="20"/>
              </w:rPr>
              <w:t xml:space="preserve"> владельцев;</w:t>
            </w:r>
          </w:p>
          <w:p w14:paraId="76A8E2D5" w14:textId="71E769AC" w:rsidR="009B6463" w:rsidRPr="00C37F3E" w:rsidRDefault="009B6463" w:rsidP="00B02D64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 при лимите задолженности на Заемщика и/или группу связанных лиц  от 3 </w:t>
            </w:r>
            <w:proofErr w:type="gramStart"/>
            <w:r w:rsidRPr="00C37F3E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="00B02D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>руб. - 1 поручитель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06C5EE85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17EA55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57A5E" w14:textId="77777777" w:rsidR="009B6463" w:rsidRPr="00C37F3E" w:rsidRDefault="009B6463" w:rsidP="00204D0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F3E">
              <w:rPr>
                <w:rFonts w:ascii="Times New Roman" w:hAnsi="Times New Roman"/>
                <w:b/>
                <w:sz w:val="20"/>
                <w:szCs w:val="20"/>
              </w:rPr>
              <w:t>Общие требования  к  поручительству:</w:t>
            </w:r>
          </w:p>
          <w:p w14:paraId="3EB470E5" w14:textId="77777777" w:rsidR="009B6463" w:rsidRPr="00C37F3E" w:rsidRDefault="009B6463" w:rsidP="00B66A94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 юридическое лицо, зарегистрированное на территории Ярославской области и осуществляющее деятельность  не менее 1 года  на дату подачи  заявки на предоставление </w:t>
            </w:r>
            <w:proofErr w:type="spellStart"/>
            <w:r w:rsidRPr="00C37F3E">
              <w:rPr>
                <w:rFonts w:ascii="Times New Roman" w:hAnsi="Times New Roman"/>
                <w:sz w:val="20"/>
                <w:szCs w:val="20"/>
              </w:rPr>
              <w:t>микрозайма</w:t>
            </w:r>
            <w:proofErr w:type="spellEnd"/>
            <w:r w:rsidRPr="00C37F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5BC7B3" w14:textId="449A972C" w:rsidR="009B6463" w:rsidRPr="00C37F3E" w:rsidRDefault="009B6463" w:rsidP="00B66A94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 физическое лицо в возрасте от 21 года до пенсионного возраста (исключение по возрасту составляют </w:t>
            </w:r>
            <w:proofErr w:type="spellStart"/>
            <w:r w:rsidRPr="00C37F3E">
              <w:rPr>
                <w:rFonts w:ascii="Times New Roman" w:hAnsi="Times New Roman"/>
                <w:sz w:val="20"/>
                <w:szCs w:val="20"/>
              </w:rPr>
              <w:t>бенефициарные</w:t>
            </w:r>
            <w:proofErr w:type="spellEnd"/>
            <w:r w:rsidRPr="00C37F3E">
              <w:rPr>
                <w:rFonts w:ascii="Times New Roman" w:hAnsi="Times New Roman"/>
                <w:sz w:val="20"/>
                <w:szCs w:val="20"/>
              </w:rPr>
              <w:t xml:space="preserve"> владельцы, учредители/акционеры), установленного действующим законодательством Российской Федерации (к моменту </w:t>
            </w:r>
            <w:proofErr w:type="gramStart"/>
            <w:r w:rsidRPr="00C37F3E">
              <w:rPr>
                <w:rFonts w:ascii="Times New Roman" w:hAnsi="Times New Roman"/>
                <w:sz w:val="20"/>
                <w:szCs w:val="20"/>
              </w:rPr>
              <w:t>окончания срока действия договора займа</w:t>
            </w:r>
            <w:proofErr w:type="gramEnd"/>
            <w:r w:rsidRPr="00C37F3E">
              <w:rPr>
                <w:rFonts w:ascii="Times New Roman" w:hAnsi="Times New Roman"/>
                <w:sz w:val="20"/>
                <w:szCs w:val="20"/>
              </w:rPr>
              <w:t>)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08F4F1" w14:textId="77777777" w:rsidR="009B6463" w:rsidRPr="00C37F3E" w:rsidRDefault="009B6463" w:rsidP="00B66A94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A9B65E" w14:textId="79A65357" w:rsidR="009B6463" w:rsidRPr="00C37F3E" w:rsidRDefault="009B6463" w:rsidP="00B66A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Условия и требования к поручительству установлены 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 xml:space="preserve">Положением 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>о способах обеспечения исполнения обязательств по договорам займа Фонда поддержки малого и среднего предпринимательства Ярославской области (микрокредитная компания)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2D4C9475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5C2AE5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9770" w14:textId="77777777" w:rsidR="009B6463" w:rsidRPr="00C37F3E" w:rsidRDefault="009B6463" w:rsidP="00025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463" w:rsidRPr="00C37F3E" w14:paraId="363A055C" w14:textId="77777777" w:rsidTr="002C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8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E80E23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35969" w14:textId="7CD82112" w:rsidR="009B6463" w:rsidRPr="00C37F3E" w:rsidRDefault="000E725F" w:rsidP="00CB4C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Кредитный комитет Фонда ПП ЯО (МКК) оставляет за собой право определить иные условия предоставления поддержки в части обеспечения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форме поручительства на основании единогласного решения всех членов Кредитного комитета Фонда ПП ЯО (МКК)</w:t>
            </w:r>
            <w:r w:rsidR="00B66A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6AEC69C5" w14:textId="77777777" w:rsidR="00661BFD" w:rsidRDefault="00661BFD" w:rsidP="00204D0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1" w:name="RANGE!A20"/>
      <w:bookmarkEnd w:id="1"/>
    </w:p>
    <w:p w14:paraId="0AA2921F" w14:textId="77777777" w:rsidR="00534E4F" w:rsidRDefault="00534E4F" w:rsidP="00204D0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19CC63F0" w14:textId="77777777" w:rsidR="00534E4F" w:rsidRDefault="00534E4F" w:rsidP="00204D0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122BC43" w14:textId="77777777" w:rsidR="00534E4F" w:rsidRPr="00811985" w:rsidRDefault="00534E4F" w:rsidP="00204D0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3C9D3A85" w14:textId="64C9B781" w:rsidR="00D50A7C" w:rsidRPr="0046043E" w:rsidRDefault="00A15BCB" w:rsidP="0046043E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8E52DF">
        <w:rPr>
          <w:rFonts w:ascii="Times New Roman" w:hAnsi="Times New Roman"/>
          <w:sz w:val="20"/>
          <w:szCs w:val="20"/>
        </w:rPr>
        <w:lastRenderedPageBreak/>
        <w:t>*</w:t>
      </w:r>
      <w:r w:rsidRPr="008E52DF">
        <w:rPr>
          <w:rFonts w:ascii="Times New Roman" w:hAnsi="Times New Roman"/>
          <w:b/>
          <w:sz w:val="20"/>
          <w:szCs w:val="20"/>
        </w:rPr>
        <w:t xml:space="preserve"> </w:t>
      </w:r>
      <w:r w:rsidR="00661BFD" w:rsidRPr="00D50A7C">
        <w:rPr>
          <w:rFonts w:ascii="Times New Roman" w:hAnsi="Times New Roman"/>
          <w:sz w:val="20"/>
          <w:szCs w:val="20"/>
        </w:rPr>
        <w:t xml:space="preserve">В соответствии с </w:t>
      </w:r>
      <w:r w:rsidR="00D50A7C" w:rsidRPr="00D50A7C">
        <w:rPr>
          <w:rFonts w:ascii="Times New Roman" w:hAnsi="Times New Roman"/>
          <w:sz w:val="20"/>
          <w:szCs w:val="20"/>
        </w:rPr>
        <w:t>подпунктом</w:t>
      </w:r>
      <w:r w:rsidR="00661BFD" w:rsidRPr="00D50A7C">
        <w:rPr>
          <w:rFonts w:ascii="Times New Roman" w:hAnsi="Times New Roman"/>
          <w:sz w:val="20"/>
          <w:szCs w:val="20"/>
        </w:rPr>
        <w:t xml:space="preserve"> 2.9.3</w:t>
      </w:r>
      <w:r w:rsidR="00B02D64">
        <w:rPr>
          <w:rFonts w:ascii="Times New Roman" w:hAnsi="Times New Roman"/>
          <w:sz w:val="20"/>
          <w:szCs w:val="20"/>
        </w:rPr>
        <w:t xml:space="preserve"> </w:t>
      </w:r>
      <w:r w:rsidR="00D50A7C" w:rsidRPr="00D50A7C">
        <w:rPr>
          <w:rFonts w:ascii="Times New Roman" w:hAnsi="Times New Roman"/>
          <w:sz w:val="20"/>
          <w:szCs w:val="20"/>
        </w:rPr>
        <w:t>пункта 2</w:t>
      </w:r>
      <w:r w:rsidR="00661BFD" w:rsidRPr="00D50A7C">
        <w:rPr>
          <w:rFonts w:ascii="Times New Roman" w:hAnsi="Times New Roman"/>
          <w:sz w:val="20"/>
          <w:szCs w:val="20"/>
        </w:rPr>
        <w:t xml:space="preserve"> </w:t>
      </w:r>
      <w:r w:rsidR="00D50A7C" w:rsidRPr="00D50A7C">
        <w:rPr>
          <w:rFonts w:ascii="Times New Roman" w:hAnsi="Times New Roman"/>
          <w:sz w:val="20"/>
          <w:szCs w:val="20"/>
        </w:rPr>
        <w:t>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предусматривающие основные направления расходов при реализации мероприятий, ключевые показатели эффективности реализации мероприятий, в том числе требования к организациям</w:t>
      </w:r>
      <w:proofErr w:type="gramEnd"/>
      <w:r w:rsidR="00D50A7C" w:rsidRPr="00D50A7C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D50A7C" w:rsidRPr="00D50A7C">
        <w:rPr>
          <w:rFonts w:ascii="Times New Roman" w:hAnsi="Times New Roman"/>
          <w:sz w:val="20"/>
          <w:szCs w:val="20"/>
        </w:rPr>
        <w:t xml:space="preserve">образующим инфраструктуру поддержки субъектов малого и среднего предпринимательства, требования к государственным (муниципальным) </w:t>
      </w:r>
      <w:proofErr w:type="spellStart"/>
      <w:r w:rsidR="00D50A7C" w:rsidRPr="00D50A7C">
        <w:rPr>
          <w:rFonts w:ascii="Times New Roman" w:hAnsi="Times New Roman"/>
          <w:sz w:val="20"/>
          <w:szCs w:val="20"/>
        </w:rPr>
        <w:t>микрофинансовым</w:t>
      </w:r>
      <w:proofErr w:type="spellEnd"/>
      <w:r w:rsidR="00D50A7C" w:rsidRPr="00D50A7C">
        <w:rPr>
          <w:rFonts w:ascii="Times New Roman" w:hAnsi="Times New Roman"/>
          <w:sz w:val="20"/>
          <w:szCs w:val="20"/>
        </w:rPr>
        <w:t xml:space="preserve"> организаци</w:t>
      </w:r>
      <w:r w:rsidR="00534E4F">
        <w:rPr>
          <w:rFonts w:ascii="Times New Roman" w:hAnsi="Times New Roman"/>
          <w:sz w:val="20"/>
          <w:szCs w:val="20"/>
        </w:rPr>
        <w:t xml:space="preserve">ям и к их деятельности (далее - </w:t>
      </w:r>
      <w:r w:rsidR="00D50A7C" w:rsidRPr="00D50A7C">
        <w:rPr>
          <w:rFonts w:ascii="Times New Roman" w:hAnsi="Times New Roman"/>
          <w:sz w:val="20"/>
          <w:szCs w:val="20"/>
        </w:rPr>
        <w:t>Требования), утвержденные приказом</w:t>
      </w:r>
      <w:r w:rsidR="0038542A" w:rsidRPr="00D50A7C">
        <w:rPr>
          <w:rFonts w:ascii="Times New Roman" w:hAnsi="Times New Roman"/>
          <w:sz w:val="20"/>
          <w:szCs w:val="20"/>
        </w:rPr>
        <w:t xml:space="preserve"> </w:t>
      </w:r>
      <w:r w:rsidR="00661BFD" w:rsidRPr="00D50A7C">
        <w:rPr>
          <w:rFonts w:ascii="Times New Roman" w:hAnsi="Times New Roman"/>
          <w:sz w:val="20"/>
          <w:szCs w:val="20"/>
        </w:rPr>
        <w:t xml:space="preserve">Минэкономразвития России от 27.03.2025 № 195 </w:t>
      </w:r>
      <w:r w:rsidR="00D50A7C" w:rsidRPr="00D50A7C">
        <w:rPr>
          <w:rFonts w:ascii="Times New Roman" w:hAnsi="Times New Roman"/>
          <w:sz w:val="20"/>
          <w:szCs w:val="20"/>
        </w:rPr>
        <w:t>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</w:t>
      </w:r>
      <w:proofErr w:type="gramEnd"/>
      <w:r w:rsidR="00D50A7C" w:rsidRPr="00D50A7C">
        <w:rPr>
          <w:rFonts w:ascii="Times New Roman" w:hAnsi="Times New Roman"/>
          <w:sz w:val="20"/>
          <w:szCs w:val="20"/>
        </w:rPr>
        <w:t xml:space="preserve"> «</w:t>
      </w:r>
      <w:proofErr w:type="gramStart"/>
      <w:r w:rsidR="00D50A7C" w:rsidRPr="00D50A7C">
        <w:rPr>
          <w:rFonts w:ascii="Times New Roman" w:hAnsi="Times New Roman"/>
          <w:sz w:val="20"/>
          <w:szCs w:val="20"/>
        </w:rPr>
        <w:t xml:space="preserve">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</w:t>
      </w:r>
      <w:proofErr w:type="spellStart"/>
      <w:r w:rsidR="00D50A7C" w:rsidRPr="00D50A7C">
        <w:rPr>
          <w:rFonts w:ascii="Times New Roman" w:hAnsi="Times New Roman"/>
          <w:sz w:val="20"/>
          <w:szCs w:val="20"/>
        </w:rPr>
        <w:t>микрофинансовым</w:t>
      </w:r>
      <w:proofErr w:type="spellEnd"/>
      <w:r w:rsidR="00D50A7C" w:rsidRPr="00D50A7C">
        <w:rPr>
          <w:rFonts w:ascii="Times New Roman" w:hAnsi="Times New Roman"/>
          <w:sz w:val="20"/>
          <w:szCs w:val="20"/>
        </w:rPr>
        <w:t xml:space="preserve"> организациям и к их деятельности» (д</w:t>
      </w:r>
      <w:r w:rsidR="00534E4F">
        <w:rPr>
          <w:rFonts w:ascii="Times New Roman" w:hAnsi="Times New Roman"/>
          <w:sz w:val="20"/>
          <w:szCs w:val="20"/>
        </w:rPr>
        <w:t xml:space="preserve">алее - </w:t>
      </w:r>
      <w:r w:rsidR="00D50A7C" w:rsidRPr="00D50A7C">
        <w:rPr>
          <w:rFonts w:ascii="Times New Roman" w:hAnsi="Times New Roman"/>
          <w:sz w:val="20"/>
          <w:szCs w:val="20"/>
        </w:rPr>
        <w:t>Приказ Минэкономразвития России от 27.03.2025 № 195)</w:t>
      </w:r>
      <w:r w:rsidR="00D50A7C">
        <w:rPr>
          <w:rFonts w:ascii="Times New Roman" w:hAnsi="Times New Roman"/>
          <w:b/>
          <w:sz w:val="20"/>
          <w:szCs w:val="20"/>
        </w:rPr>
        <w:t xml:space="preserve"> </w:t>
      </w:r>
      <w:r w:rsidR="00661BFD" w:rsidRPr="00D50A7C">
        <w:rPr>
          <w:rFonts w:ascii="Times New Roman" w:hAnsi="Times New Roman"/>
          <w:b/>
          <w:sz w:val="20"/>
          <w:szCs w:val="20"/>
          <w:u w:val="single"/>
        </w:rPr>
        <w:t>при</w:t>
      </w:r>
      <w:r w:rsidR="00534E4F">
        <w:rPr>
          <w:rFonts w:ascii="Times New Roman" w:hAnsi="Times New Roman"/>
          <w:b/>
          <w:sz w:val="20"/>
          <w:szCs w:val="20"/>
          <w:u w:val="single"/>
        </w:rPr>
        <w:t>оритетные проекты, реализуемые С</w:t>
      </w:r>
      <w:r w:rsidR="00661BFD" w:rsidRPr="00D50A7C">
        <w:rPr>
          <w:rFonts w:ascii="Times New Roman" w:hAnsi="Times New Roman"/>
          <w:b/>
          <w:sz w:val="20"/>
          <w:szCs w:val="20"/>
          <w:u w:val="single"/>
        </w:rPr>
        <w:t>убъектами МСП, удовлетворяют одному или нескольким условиям:</w:t>
      </w:r>
      <w:proofErr w:type="gramEnd"/>
    </w:p>
    <w:p w14:paraId="76DAD488" w14:textId="77777777" w:rsidR="00661BFD" w:rsidRPr="00661BFD" w:rsidRDefault="00534E4F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С</w:t>
      </w:r>
      <w:r w:rsidR="00661BFD" w:rsidRPr="00661BFD">
        <w:rPr>
          <w:rFonts w:ascii="Times New Roman" w:hAnsi="Times New Roman"/>
          <w:sz w:val="20"/>
          <w:szCs w:val="20"/>
        </w:rPr>
        <w:t xml:space="preserve">убъект МСП на дату заключения договора о предоставлении </w:t>
      </w:r>
      <w:proofErr w:type="spellStart"/>
      <w:r w:rsidR="00661BFD" w:rsidRPr="00661BFD">
        <w:rPr>
          <w:rFonts w:ascii="Times New Roman" w:hAnsi="Times New Roman"/>
          <w:sz w:val="20"/>
          <w:szCs w:val="20"/>
        </w:rPr>
        <w:t>микрозайма</w:t>
      </w:r>
      <w:proofErr w:type="spellEnd"/>
      <w:r w:rsidR="00661BFD" w:rsidRPr="00661BFD">
        <w:rPr>
          <w:rFonts w:ascii="Times New Roman" w:hAnsi="Times New Roman"/>
          <w:sz w:val="20"/>
          <w:szCs w:val="20"/>
        </w:rPr>
        <w:t xml:space="preserve"> осуществляет один из следующих видов деятельности в соответствии с Общероссийским классификатором видов экономической деятельности (</w:t>
      </w:r>
      <w:proofErr w:type="gramStart"/>
      <w:r w:rsidR="00661BFD" w:rsidRPr="00661BFD">
        <w:rPr>
          <w:rFonts w:ascii="Times New Roman" w:hAnsi="Times New Roman"/>
          <w:sz w:val="20"/>
          <w:szCs w:val="20"/>
        </w:rPr>
        <w:t>ОК</w:t>
      </w:r>
      <w:proofErr w:type="gramEnd"/>
      <w:r w:rsidR="00661BFD" w:rsidRPr="00661BFD">
        <w:rPr>
          <w:rFonts w:ascii="Times New Roman" w:hAnsi="Times New Roman"/>
          <w:sz w:val="20"/>
          <w:szCs w:val="20"/>
        </w:rPr>
        <w:t xml:space="preserve"> 029-2014) (далее - ОКВЭД):</w:t>
      </w:r>
    </w:p>
    <w:p w14:paraId="44186BE7" w14:textId="77777777" w:rsidR="00661BFD" w:rsidRPr="00661BFD" w:rsidRDefault="00661BFD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обрабатывающие пр</w:t>
      </w:r>
      <w:r w:rsidR="00534E4F">
        <w:rPr>
          <w:rFonts w:ascii="Times New Roman" w:hAnsi="Times New Roman"/>
          <w:sz w:val="20"/>
          <w:szCs w:val="20"/>
        </w:rPr>
        <w:t>оизводства (в рамках раздела C «Обрабатывающие производства»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77F0588D" w14:textId="77777777" w:rsidR="00661BFD" w:rsidRPr="00661BFD" w:rsidRDefault="00661BFD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гостиниц и предприятий общественно</w:t>
      </w:r>
      <w:r w:rsidR="00534E4F">
        <w:rPr>
          <w:rFonts w:ascii="Times New Roman" w:hAnsi="Times New Roman"/>
          <w:sz w:val="20"/>
          <w:szCs w:val="20"/>
        </w:rPr>
        <w:t>го питания (в рамках раздела I «</w:t>
      </w:r>
      <w:r w:rsidRPr="00661BFD">
        <w:rPr>
          <w:rFonts w:ascii="Times New Roman" w:hAnsi="Times New Roman"/>
          <w:sz w:val="20"/>
          <w:szCs w:val="20"/>
        </w:rPr>
        <w:t>Деятельность гостиниц и пр</w:t>
      </w:r>
      <w:r w:rsidR="00534E4F">
        <w:rPr>
          <w:rFonts w:ascii="Times New Roman" w:hAnsi="Times New Roman"/>
          <w:sz w:val="20"/>
          <w:szCs w:val="20"/>
        </w:rPr>
        <w:t>едприятий общественного питания»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5A821F0B" w14:textId="77777777" w:rsidR="00661BFD" w:rsidRPr="00661BFD" w:rsidRDefault="00661BFD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в области информац</w:t>
      </w:r>
      <w:r w:rsidR="00534E4F">
        <w:rPr>
          <w:rFonts w:ascii="Times New Roman" w:hAnsi="Times New Roman"/>
          <w:sz w:val="20"/>
          <w:szCs w:val="20"/>
        </w:rPr>
        <w:t>ии и связи (в рамках раздела J «</w:t>
      </w:r>
      <w:r w:rsidRPr="00661BFD">
        <w:rPr>
          <w:rFonts w:ascii="Times New Roman" w:hAnsi="Times New Roman"/>
          <w:sz w:val="20"/>
          <w:szCs w:val="20"/>
        </w:rPr>
        <w:t>Деятельность в области информации и связи</w:t>
      </w:r>
      <w:r w:rsidR="00534E4F">
        <w:rPr>
          <w:rFonts w:ascii="Times New Roman" w:hAnsi="Times New Roman"/>
          <w:sz w:val="20"/>
          <w:szCs w:val="20"/>
        </w:rPr>
        <w:t>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4CEDD2B8" w14:textId="77777777" w:rsidR="00661BFD" w:rsidRPr="00661BFD" w:rsidRDefault="00661BFD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профессиональная, научная и т</w:t>
      </w:r>
      <w:r w:rsidR="00534E4F">
        <w:rPr>
          <w:rFonts w:ascii="Times New Roman" w:hAnsi="Times New Roman"/>
          <w:sz w:val="20"/>
          <w:szCs w:val="20"/>
        </w:rPr>
        <w:t>ехническая (в рамках раздела M «</w:t>
      </w:r>
      <w:r w:rsidRPr="00661BFD">
        <w:rPr>
          <w:rFonts w:ascii="Times New Roman" w:hAnsi="Times New Roman"/>
          <w:sz w:val="20"/>
          <w:szCs w:val="20"/>
        </w:rPr>
        <w:t>Деятельность професси</w:t>
      </w:r>
      <w:r w:rsidR="00534E4F">
        <w:rPr>
          <w:rFonts w:ascii="Times New Roman" w:hAnsi="Times New Roman"/>
          <w:sz w:val="20"/>
          <w:szCs w:val="20"/>
        </w:rPr>
        <w:t>ональная, научная и техническая»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5AB9C1FF" w14:textId="774CB54E" w:rsidR="00661BFD" w:rsidRPr="00661BFD" w:rsidRDefault="00661BFD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в сфере туризма</w:t>
      </w:r>
      <w:r w:rsidR="00534E4F">
        <w:rPr>
          <w:rFonts w:ascii="Times New Roman" w:hAnsi="Times New Roman"/>
          <w:sz w:val="20"/>
          <w:szCs w:val="20"/>
        </w:rPr>
        <w:t xml:space="preserve"> (в рамках класса 79 раздела N «</w:t>
      </w:r>
      <w:r w:rsidRPr="00661BFD">
        <w:rPr>
          <w:rFonts w:ascii="Times New Roman" w:hAnsi="Times New Roman"/>
          <w:sz w:val="20"/>
          <w:szCs w:val="20"/>
        </w:rPr>
        <w:t>Деятельность административная и сопутствующие услуги</w:t>
      </w:r>
      <w:r w:rsidR="00534E4F">
        <w:rPr>
          <w:rFonts w:ascii="Times New Roman" w:hAnsi="Times New Roman"/>
          <w:sz w:val="20"/>
          <w:szCs w:val="20"/>
        </w:rPr>
        <w:t>»</w:t>
      </w:r>
      <w:r w:rsidRPr="00661BFD">
        <w:rPr>
          <w:rFonts w:ascii="Times New Roman" w:hAnsi="Times New Roman"/>
          <w:sz w:val="20"/>
          <w:szCs w:val="20"/>
        </w:rPr>
        <w:t xml:space="preserve"> ОКВЭД)</w:t>
      </w:r>
      <w:r w:rsidR="00B66A94">
        <w:rPr>
          <w:rFonts w:ascii="Times New Roman" w:hAnsi="Times New Roman"/>
          <w:sz w:val="20"/>
          <w:szCs w:val="20"/>
        </w:rPr>
        <w:t>.</w:t>
      </w:r>
    </w:p>
    <w:p w14:paraId="235435B8" w14:textId="0A630327" w:rsidR="00661BFD" w:rsidRPr="00661BFD" w:rsidRDefault="00534E4F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С</w:t>
      </w:r>
      <w:r w:rsidR="00661BFD" w:rsidRPr="00661BFD">
        <w:rPr>
          <w:rFonts w:ascii="Times New Roman" w:hAnsi="Times New Roman"/>
          <w:sz w:val="20"/>
          <w:szCs w:val="20"/>
        </w:rPr>
        <w:t xml:space="preserve">убъект МСП является вновь зарегистрированным и действующим менее 2 </w:t>
      </w:r>
      <w:r w:rsidR="00B63B99">
        <w:rPr>
          <w:rFonts w:ascii="Times New Roman" w:hAnsi="Times New Roman"/>
          <w:sz w:val="20"/>
          <w:szCs w:val="20"/>
        </w:rPr>
        <w:t xml:space="preserve">(двух) </w:t>
      </w:r>
      <w:r w:rsidR="00661BFD" w:rsidRPr="00661BFD">
        <w:rPr>
          <w:rFonts w:ascii="Times New Roman" w:hAnsi="Times New Roman"/>
          <w:sz w:val="20"/>
          <w:szCs w:val="20"/>
        </w:rPr>
        <w:t xml:space="preserve">лет на дату заключения договора о предоставлении </w:t>
      </w:r>
      <w:proofErr w:type="spellStart"/>
      <w:r w:rsidR="00661BFD" w:rsidRPr="00661BFD">
        <w:rPr>
          <w:rFonts w:ascii="Times New Roman" w:hAnsi="Times New Roman"/>
          <w:sz w:val="20"/>
          <w:szCs w:val="20"/>
        </w:rPr>
        <w:t>микрозайма</w:t>
      </w:r>
      <w:proofErr w:type="spellEnd"/>
      <w:r w:rsidR="00B66A94">
        <w:rPr>
          <w:rFonts w:ascii="Times New Roman" w:hAnsi="Times New Roman"/>
          <w:sz w:val="20"/>
          <w:szCs w:val="20"/>
        </w:rPr>
        <w:t>;</w:t>
      </w:r>
    </w:p>
    <w:p w14:paraId="709DA4C3" w14:textId="77777777" w:rsidR="00661BFD" w:rsidRPr="00661BFD" w:rsidRDefault="00534E4F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С</w:t>
      </w:r>
      <w:r w:rsidR="00661BFD" w:rsidRPr="00661BFD">
        <w:rPr>
          <w:rFonts w:ascii="Times New Roman" w:hAnsi="Times New Roman"/>
          <w:sz w:val="20"/>
          <w:szCs w:val="20"/>
        </w:rPr>
        <w:t xml:space="preserve">убъект МСП на дату заключения договора о предоставлении </w:t>
      </w:r>
      <w:proofErr w:type="spellStart"/>
      <w:r w:rsidR="00661BFD" w:rsidRPr="00661BFD">
        <w:rPr>
          <w:rFonts w:ascii="Times New Roman" w:hAnsi="Times New Roman"/>
          <w:sz w:val="20"/>
          <w:szCs w:val="20"/>
        </w:rPr>
        <w:t>микрозайма</w:t>
      </w:r>
      <w:proofErr w:type="spellEnd"/>
      <w:r w:rsidR="00661BFD" w:rsidRPr="00661BFD">
        <w:rPr>
          <w:rFonts w:ascii="Times New Roman" w:hAnsi="Times New Roman"/>
          <w:sz w:val="20"/>
          <w:szCs w:val="20"/>
        </w:rPr>
        <w:t xml:space="preserve"> является субъектом креативной индустрии в соответствии с Федеральным законом</w:t>
      </w:r>
      <w:r>
        <w:rPr>
          <w:rFonts w:ascii="Times New Roman" w:hAnsi="Times New Roman"/>
          <w:sz w:val="20"/>
          <w:szCs w:val="20"/>
        </w:rPr>
        <w:t xml:space="preserve"> от</w:t>
      </w:r>
      <w:r w:rsidR="00665FB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08.08.2024 № 330-ФЗ «</w:t>
      </w:r>
      <w:r w:rsidR="00661BFD" w:rsidRPr="00661BFD">
        <w:rPr>
          <w:rFonts w:ascii="Times New Roman" w:hAnsi="Times New Roman"/>
          <w:sz w:val="20"/>
          <w:szCs w:val="20"/>
        </w:rPr>
        <w:t>О развитии креативных (творческих) индустрий в Российской Федерации</w:t>
      </w:r>
      <w:r>
        <w:rPr>
          <w:rFonts w:ascii="Times New Roman" w:hAnsi="Times New Roman"/>
          <w:sz w:val="20"/>
          <w:szCs w:val="20"/>
        </w:rPr>
        <w:t>»</w:t>
      </w:r>
      <w:r w:rsidR="00661BFD" w:rsidRPr="00661BFD">
        <w:rPr>
          <w:rFonts w:ascii="Times New Roman" w:hAnsi="Times New Roman"/>
          <w:sz w:val="20"/>
          <w:szCs w:val="20"/>
        </w:rPr>
        <w:t>;</w:t>
      </w:r>
    </w:p>
    <w:p w14:paraId="6AC6D3A2" w14:textId="77777777" w:rsidR="00661BFD" w:rsidRPr="00661BFD" w:rsidRDefault="00534E4F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С</w:t>
      </w:r>
      <w:r w:rsidR="00661BFD" w:rsidRPr="00661BFD">
        <w:rPr>
          <w:rFonts w:ascii="Times New Roman" w:hAnsi="Times New Roman"/>
          <w:sz w:val="20"/>
          <w:szCs w:val="20"/>
        </w:rPr>
        <w:t xml:space="preserve">убъект МСП на дату заключения договора о предоставлении </w:t>
      </w:r>
      <w:proofErr w:type="spellStart"/>
      <w:r w:rsidR="00661BFD" w:rsidRPr="00661BFD">
        <w:rPr>
          <w:rFonts w:ascii="Times New Roman" w:hAnsi="Times New Roman"/>
          <w:sz w:val="20"/>
          <w:szCs w:val="20"/>
        </w:rPr>
        <w:t>микрозайма</w:t>
      </w:r>
      <w:proofErr w:type="spellEnd"/>
      <w:r w:rsidR="00661BFD" w:rsidRPr="00661BFD">
        <w:rPr>
          <w:rFonts w:ascii="Times New Roman" w:hAnsi="Times New Roman"/>
          <w:sz w:val="20"/>
          <w:szCs w:val="20"/>
        </w:rPr>
        <w:t xml:space="preserve"> осуществляет экспортную деятельность;</w:t>
      </w:r>
    </w:p>
    <w:p w14:paraId="68B1E55C" w14:textId="77777777" w:rsidR="00661BFD" w:rsidRDefault="00534E4F" w:rsidP="00661BFD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 С</w:t>
      </w:r>
      <w:r w:rsidR="00661BFD" w:rsidRPr="00661BFD">
        <w:rPr>
          <w:rFonts w:ascii="Times New Roman" w:hAnsi="Times New Roman"/>
          <w:sz w:val="20"/>
          <w:szCs w:val="20"/>
        </w:rPr>
        <w:t xml:space="preserve">убъект МСП на дату заключения договора о предоставлении </w:t>
      </w:r>
      <w:proofErr w:type="spellStart"/>
      <w:r w:rsidR="00661BFD" w:rsidRPr="00661BFD">
        <w:rPr>
          <w:rFonts w:ascii="Times New Roman" w:hAnsi="Times New Roman"/>
          <w:sz w:val="20"/>
          <w:szCs w:val="20"/>
        </w:rPr>
        <w:t>микрозайма</w:t>
      </w:r>
      <w:proofErr w:type="spellEnd"/>
      <w:r w:rsidR="00661BFD" w:rsidRPr="00661BFD">
        <w:rPr>
          <w:rFonts w:ascii="Times New Roman" w:hAnsi="Times New Roman"/>
          <w:sz w:val="20"/>
          <w:szCs w:val="20"/>
        </w:rPr>
        <w:t xml:space="preserve"> реализует иные приоритетные проекты, определенные высшим или иным уполномоченным органом управления </w:t>
      </w:r>
      <w:r>
        <w:rPr>
          <w:rFonts w:ascii="Times New Roman" w:hAnsi="Times New Roman"/>
          <w:sz w:val="20"/>
          <w:szCs w:val="20"/>
        </w:rPr>
        <w:t>Фонда ПП ЯО (МКК)</w:t>
      </w:r>
      <w:r w:rsidR="00661BFD" w:rsidRPr="00661BFD">
        <w:rPr>
          <w:rFonts w:ascii="Times New Roman" w:hAnsi="Times New Roman"/>
          <w:sz w:val="20"/>
          <w:szCs w:val="20"/>
        </w:rPr>
        <w:t>, из числа приоритетных проектов, утвержденных нормативным правовым актом высшего исполнительного органа субъекта Российской Федерации.</w:t>
      </w:r>
    </w:p>
    <w:p w14:paraId="0BB8EFD7" w14:textId="77777777" w:rsidR="00661BFD" w:rsidRPr="00661BFD" w:rsidRDefault="00661BFD" w:rsidP="00460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D5B06B" w14:textId="7E4C8588" w:rsidR="002C4458" w:rsidRDefault="00661BFD" w:rsidP="00A15BCB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20"/>
          <w:szCs w:val="20"/>
        </w:rPr>
      </w:pPr>
      <w:r w:rsidRPr="008E52DF">
        <w:rPr>
          <w:rFonts w:ascii="Times New Roman" w:hAnsi="Times New Roman"/>
          <w:sz w:val="20"/>
          <w:szCs w:val="20"/>
        </w:rPr>
        <w:t>**</w:t>
      </w:r>
      <w:r>
        <w:rPr>
          <w:rFonts w:ascii="Times New Roman" w:hAnsi="Times New Roman"/>
          <w:sz w:val="20"/>
          <w:szCs w:val="20"/>
        </w:rPr>
        <w:t xml:space="preserve"> </w:t>
      </w:r>
      <w:r w:rsidR="00A15BCB" w:rsidRPr="008E52DF">
        <w:rPr>
          <w:rFonts w:ascii="Times New Roman" w:hAnsi="Times New Roman"/>
          <w:b/>
          <w:sz w:val="20"/>
          <w:szCs w:val="20"/>
        </w:rPr>
        <w:t xml:space="preserve">Определение процентной ставки за пользование </w:t>
      </w:r>
      <w:proofErr w:type="spellStart"/>
      <w:r w:rsidR="00A15BCB" w:rsidRPr="008E52DF">
        <w:rPr>
          <w:rFonts w:ascii="Times New Roman" w:hAnsi="Times New Roman"/>
          <w:b/>
          <w:sz w:val="20"/>
          <w:szCs w:val="20"/>
        </w:rPr>
        <w:t>микрозаймом</w:t>
      </w:r>
      <w:proofErr w:type="spellEnd"/>
      <w:r w:rsidR="00A15BCB" w:rsidRPr="008E52DF">
        <w:rPr>
          <w:rFonts w:ascii="Times New Roman" w:hAnsi="Times New Roman"/>
          <w:b/>
          <w:sz w:val="20"/>
          <w:szCs w:val="20"/>
        </w:rPr>
        <w:t xml:space="preserve"> в соответствии с </w:t>
      </w:r>
      <w:r w:rsidR="003607FD">
        <w:rPr>
          <w:rFonts w:ascii="Times New Roman" w:hAnsi="Times New Roman"/>
          <w:b/>
          <w:sz w:val="20"/>
          <w:szCs w:val="20"/>
        </w:rPr>
        <w:t>подпунктом</w:t>
      </w:r>
      <w:r w:rsidR="00D50A7C">
        <w:rPr>
          <w:rFonts w:ascii="Times New Roman" w:hAnsi="Times New Roman"/>
          <w:b/>
          <w:sz w:val="20"/>
          <w:szCs w:val="20"/>
        </w:rPr>
        <w:t xml:space="preserve"> 2.9.1</w:t>
      </w:r>
      <w:r w:rsidR="00B02D64">
        <w:rPr>
          <w:rFonts w:ascii="Times New Roman" w:hAnsi="Times New Roman"/>
          <w:b/>
          <w:sz w:val="20"/>
          <w:szCs w:val="20"/>
        </w:rPr>
        <w:t> </w:t>
      </w:r>
      <w:r w:rsidR="00D50A7C">
        <w:rPr>
          <w:rFonts w:ascii="Times New Roman" w:hAnsi="Times New Roman"/>
          <w:b/>
          <w:sz w:val="20"/>
          <w:szCs w:val="20"/>
        </w:rPr>
        <w:t>-</w:t>
      </w:r>
      <w:r w:rsidR="00B02D64">
        <w:rPr>
          <w:rFonts w:ascii="Times New Roman" w:hAnsi="Times New Roman"/>
          <w:b/>
          <w:sz w:val="20"/>
          <w:szCs w:val="20"/>
        </w:rPr>
        <w:t> </w:t>
      </w:r>
      <w:r w:rsidR="00D50A7C">
        <w:rPr>
          <w:rFonts w:ascii="Times New Roman" w:hAnsi="Times New Roman"/>
          <w:b/>
          <w:sz w:val="20"/>
          <w:szCs w:val="20"/>
        </w:rPr>
        <w:t>2.9.2.1 пункта</w:t>
      </w:r>
      <w:r w:rsidR="00DF1AB4" w:rsidRPr="008E52DF">
        <w:rPr>
          <w:rFonts w:ascii="Times New Roman" w:hAnsi="Times New Roman"/>
          <w:b/>
          <w:sz w:val="20"/>
          <w:szCs w:val="20"/>
        </w:rPr>
        <w:t xml:space="preserve"> 2</w:t>
      </w:r>
      <w:r w:rsidR="003607FD">
        <w:rPr>
          <w:rFonts w:ascii="Times New Roman" w:hAnsi="Times New Roman"/>
          <w:b/>
          <w:sz w:val="20"/>
          <w:szCs w:val="20"/>
        </w:rPr>
        <w:t>.9 раздела 2</w:t>
      </w:r>
      <w:r w:rsidR="00DF1AB4" w:rsidRPr="008E52DF">
        <w:rPr>
          <w:rFonts w:ascii="Times New Roman" w:hAnsi="Times New Roman"/>
          <w:b/>
          <w:sz w:val="20"/>
          <w:szCs w:val="20"/>
        </w:rPr>
        <w:t xml:space="preserve"> </w:t>
      </w:r>
      <w:r w:rsidR="00D50A7C">
        <w:rPr>
          <w:rFonts w:ascii="Times New Roman" w:hAnsi="Times New Roman"/>
          <w:b/>
          <w:sz w:val="20"/>
          <w:szCs w:val="20"/>
        </w:rPr>
        <w:t xml:space="preserve">Требований, утвержденных Приказом </w:t>
      </w:r>
      <w:r w:rsidR="00D50A7C" w:rsidRPr="008E52DF">
        <w:rPr>
          <w:rFonts w:ascii="Times New Roman" w:hAnsi="Times New Roman"/>
          <w:b/>
          <w:sz w:val="20"/>
          <w:szCs w:val="20"/>
        </w:rPr>
        <w:t>Минэкономразвития России от 27.03.2025 № 195</w:t>
      </w:r>
      <w:r w:rsidR="00B2085F">
        <w:rPr>
          <w:rFonts w:ascii="Times New Roman" w:hAnsi="Times New Roman"/>
          <w:b/>
          <w:sz w:val="20"/>
          <w:szCs w:val="20"/>
        </w:rPr>
        <w:t>.</w:t>
      </w:r>
    </w:p>
    <w:p w14:paraId="30DDE43F" w14:textId="77777777" w:rsidR="00D50A7C" w:rsidRDefault="00D50A7C" w:rsidP="00A15BCB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19"/>
          <w:szCs w:val="19"/>
        </w:rPr>
      </w:pPr>
    </w:p>
    <w:p w14:paraId="4B8A0387" w14:textId="77777777" w:rsidR="008E52DF" w:rsidRPr="002C4458" w:rsidRDefault="008E52DF" w:rsidP="00B66A94">
      <w:pP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2C4458">
        <w:rPr>
          <w:rFonts w:ascii="Times New Roman" w:hAnsi="Times New Roman"/>
          <w:b/>
          <w:sz w:val="20"/>
          <w:szCs w:val="20"/>
        </w:rPr>
        <w:t>Порядок определения (ди</w:t>
      </w:r>
      <w:r w:rsidR="0038542A">
        <w:rPr>
          <w:rFonts w:ascii="Times New Roman" w:hAnsi="Times New Roman"/>
          <w:b/>
          <w:sz w:val="20"/>
          <w:szCs w:val="20"/>
        </w:rPr>
        <w:t>апазон) ставок для продукта Инвестиционный «Приоритетный»</w:t>
      </w:r>
    </w:p>
    <w:tbl>
      <w:tblPr>
        <w:tblStyle w:val="a9"/>
        <w:tblW w:w="15735" w:type="dxa"/>
        <w:tblInd w:w="-1168" w:type="dxa"/>
        <w:tblLook w:val="04A0" w:firstRow="1" w:lastRow="0" w:firstColumn="1" w:lastColumn="0" w:noHBand="0" w:noVBand="1"/>
      </w:tblPr>
      <w:tblGrid>
        <w:gridCol w:w="2127"/>
        <w:gridCol w:w="5953"/>
        <w:gridCol w:w="7655"/>
      </w:tblGrid>
      <w:tr w:rsidR="008E52DF" w:rsidRPr="002C4458" w14:paraId="6D7CB057" w14:textId="77777777" w:rsidTr="00562330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B62631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Размер ключевой ставки Банка России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4EE3D89A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 xml:space="preserve">Процентная ставка за пользование </w:t>
            </w:r>
            <w:proofErr w:type="spellStart"/>
            <w:r w:rsidRPr="002C4458">
              <w:rPr>
                <w:rFonts w:ascii="Times New Roman" w:hAnsi="Times New Roman"/>
                <w:sz w:val="20"/>
                <w:szCs w:val="20"/>
              </w:rPr>
              <w:t>микрозаймом</w:t>
            </w:r>
            <w:proofErr w:type="spellEnd"/>
          </w:p>
          <w:p w14:paraId="15F96BA2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наличии залогового обеспечения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1CA2D79B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 xml:space="preserve">Процентная ставка за пользование </w:t>
            </w:r>
            <w:proofErr w:type="spellStart"/>
            <w:r w:rsidRPr="002C4458">
              <w:rPr>
                <w:rFonts w:ascii="Times New Roman" w:hAnsi="Times New Roman"/>
                <w:sz w:val="20"/>
                <w:szCs w:val="20"/>
              </w:rPr>
              <w:t>микрозаймом</w:t>
            </w:r>
            <w:proofErr w:type="spellEnd"/>
          </w:p>
          <w:p w14:paraId="2E36202A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отсутствии залогового обеспечения</w:t>
            </w:r>
          </w:p>
        </w:tc>
      </w:tr>
      <w:tr w:rsidR="008E52DF" w:rsidRPr="002C4458" w14:paraId="68508FC5" w14:textId="77777777" w:rsidTr="00562330">
        <w:trPr>
          <w:trHeight w:val="510"/>
        </w:trPr>
        <w:tc>
          <w:tcPr>
            <w:tcW w:w="2127" w:type="dxa"/>
            <w:vAlign w:val="center"/>
          </w:tcPr>
          <w:p w14:paraId="6385E593" w14:textId="3943C70E" w:rsidR="008E52DF" w:rsidRPr="002C4458" w:rsidRDefault="00845CE6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8E52DF" w:rsidRPr="002C4458">
              <w:rPr>
                <w:rFonts w:ascii="Times New Roman" w:hAnsi="Times New Roman"/>
                <w:sz w:val="20"/>
                <w:szCs w:val="20"/>
              </w:rPr>
              <w:t>олее 16</w:t>
            </w:r>
            <w:r w:rsidR="00B63B99">
              <w:rPr>
                <w:rFonts w:ascii="Times New Roman" w:hAnsi="Times New Roman"/>
                <w:sz w:val="20"/>
                <w:szCs w:val="20"/>
              </w:rPr>
              <w:t> </w:t>
            </w:r>
            <w:r w:rsidR="008E52DF" w:rsidRPr="002C4458">
              <w:rPr>
                <w:rFonts w:ascii="Times New Roman" w:hAnsi="Times New Roman"/>
                <w:sz w:val="20"/>
                <w:szCs w:val="20"/>
              </w:rPr>
              <w:t>% годовых</w:t>
            </w:r>
          </w:p>
        </w:tc>
        <w:tc>
          <w:tcPr>
            <w:tcW w:w="5953" w:type="dxa"/>
            <w:vAlign w:val="center"/>
          </w:tcPr>
          <w:p w14:paraId="22C52EDE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до ½ ключевой ставки Банка России,</w:t>
            </w:r>
          </w:p>
          <w:p w14:paraId="01A3B4CC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  <w:tc>
          <w:tcPr>
            <w:tcW w:w="7655" w:type="dxa"/>
            <w:vAlign w:val="center"/>
          </w:tcPr>
          <w:p w14:paraId="005BA7CB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2C4458">
              <w:rPr>
                <w:rFonts w:ascii="Times New Roman" w:hAnsi="Times New Roman"/>
                <w:sz w:val="20"/>
                <w:szCs w:val="20"/>
              </w:rPr>
              <w:t xml:space="preserve"> ½ до ¾ ключевой ставки Банка России,</w:t>
            </w:r>
          </w:p>
          <w:p w14:paraId="5740B445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</w:tr>
      <w:tr w:rsidR="008E52DF" w:rsidRPr="002C4458" w14:paraId="39801C59" w14:textId="77777777" w:rsidTr="00985615">
        <w:trPr>
          <w:trHeight w:val="510"/>
        </w:trPr>
        <w:tc>
          <w:tcPr>
            <w:tcW w:w="2127" w:type="dxa"/>
            <w:vAlign w:val="center"/>
          </w:tcPr>
          <w:p w14:paraId="75A85EB1" w14:textId="7740468A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16</w:t>
            </w:r>
            <w:r w:rsidR="002C6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458">
              <w:rPr>
                <w:rFonts w:ascii="Times New Roman" w:hAnsi="Times New Roman"/>
                <w:sz w:val="20"/>
                <w:szCs w:val="20"/>
              </w:rPr>
              <w:t>% годовых и менее</w:t>
            </w:r>
          </w:p>
        </w:tc>
        <w:tc>
          <w:tcPr>
            <w:tcW w:w="5953" w:type="dxa"/>
            <w:vAlign w:val="center"/>
          </w:tcPr>
          <w:p w14:paraId="57459C3E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до ¾ ключевой ставки Банка России,</w:t>
            </w:r>
          </w:p>
          <w:p w14:paraId="2487DEC0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  <w:tc>
          <w:tcPr>
            <w:tcW w:w="7655" w:type="dxa"/>
            <w:vAlign w:val="center"/>
          </w:tcPr>
          <w:p w14:paraId="0B7938A1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от ¾ до 1-кратного размера ключевой ставки Банка России,</w:t>
            </w:r>
          </w:p>
          <w:p w14:paraId="447E39E7" w14:textId="77777777" w:rsidR="008E52DF" w:rsidRPr="002C4458" w:rsidRDefault="008E52D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</w:tr>
    </w:tbl>
    <w:p w14:paraId="02CC5C7A" w14:textId="77777777" w:rsidR="008E52DF" w:rsidRDefault="008E52DF" w:rsidP="00A15BCB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19"/>
          <w:szCs w:val="19"/>
        </w:rPr>
      </w:pPr>
    </w:p>
    <w:p w14:paraId="75045523" w14:textId="77777777" w:rsidR="002C4458" w:rsidRPr="002C4458" w:rsidRDefault="002C4458" w:rsidP="00845CE6">
      <w:pP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2C4458">
        <w:rPr>
          <w:rFonts w:ascii="Times New Roman" w:hAnsi="Times New Roman"/>
          <w:b/>
          <w:sz w:val="20"/>
          <w:szCs w:val="20"/>
        </w:rPr>
        <w:t xml:space="preserve">Порядок определения (диапазон) ставок для </w:t>
      </w:r>
      <w:r w:rsidR="0038542A">
        <w:rPr>
          <w:rFonts w:ascii="Times New Roman" w:hAnsi="Times New Roman"/>
          <w:b/>
          <w:sz w:val="20"/>
          <w:szCs w:val="20"/>
        </w:rPr>
        <w:t>продукта Инвестиционный «Основной»</w:t>
      </w:r>
    </w:p>
    <w:tbl>
      <w:tblPr>
        <w:tblStyle w:val="a9"/>
        <w:tblW w:w="15735" w:type="dxa"/>
        <w:tblInd w:w="-1168" w:type="dxa"/>
        <w:tblLook w:val="04A0" w:firstRow="1" w:lastRow="0" w:firstColumn="1" w:lastColumn="0" w:noHBand="0" w:noVBand="1"/>
      </w:tblPr>
      <w:tblGrid>
        <w:gridCol w:w="2127"/>
        <w:gridCol w:w="5953"/>
        <w:gridCol w:w="7655"/>
      </w:tblGrid>
      <w:tr w:rsidR="002C4458" w:rsidRPr="002C4458" w14:paraId="66492ADC" w14:textId="77777777" w:rsidTr="00562330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430EFC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Размер ключевой ставки Банка России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1A2C047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 xml:space="preserve">Процентная ставка за пользование </w:t>
            </w:r>
            <w:proofErr w:type="spellStart"/>
            <w:r w:rsidRPr="002C4458">
              <w:rPr>
                <w:rFonts w:ascii="Times New Roman" w:hAnsi="Times New Roman"/>
                <w:sz w:val="20"/>
                <w:szCs w:val="20"/>
              </w:rPr>
              <w:t>микрозаймом</w:t>
            </w:r>
            <w:proofErr w:type="spellEnd"/>
          </w:p>
          <w:p w14:paraId="7BB71864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наличии залогового обеспечения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3A2FA1CD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 xml:space="preserve">Процентная ставка за пользование </w:t>
            </w:r>
            <w:proofErr w:type="spellStart"/>
            <w:r w:rsidRPr="002C4458">
              <w:rPr>
                <w:rFonts w:ascii="Times New Roman" w:hAnsi="Times New Roman"/>
                <w:sz w:val="20"/>
                <w:szCs w:val="20"/>
              </w:rPr>
              <w:t>микрозаймом</w:t>
            </w:r>
            <w:proofErr w:type="spellEnd"/>
          </w:p>
          <w:p w14:paraId="505EF77C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отсутствии залогового обеспечения</w:t>
            </w:r>
          </w:p>
        </w:tc>
      </w:tr>
      <w:tr w:rsidR="002C4458" w:rsidRPr="002C4458" w14:paraId="7043BB4F" w14:textId="77777777" w:rsidTr="00562330">
        <w:trPr>
          <w:trHeight w:val="510"/>
        </w:trPr>
        <w:tc>
          <w:tcPr>
            <w:tcW w:w="2127" w:type="dxa"/>
            <w:vAlign w:val="center"/>
          </w:tcPr>
          <w:p w14:paraId="1FFE1975" w14:textId="2D284041" w:rsidR="002C4458" w:rsidRPr="002C4458" w:rsidRDefault="00845CE6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2C4458" w:rsidRPr="002C4458">
              <w:rPr>
                <w:rFonts w:ascii="Times New Roman" w:hAnsi="Times New Roman"/>
                <w:sz w:val="20"/>
                <w:szCs w:val="20"/>
              </w:rPr>
              <w:t>олее 16</w:t>
            </w:r>
            <w:r w:rsidR="00B63B99">
              <w:rPr>
                <w:rFonts w:ascii="Times New Roman" w:hAnsi="Times New Roman"/>
                <w:sz w:val="20"/>
                <w:szCs w:val="20"/>
              </w:rPr>
              <w:t> </w:t>
            </w:r>
            <w:r w:rsidR="002C4458" w:rsidRPr="002C4458">
              <w:rPr>
                <w:rFonts w:ascii="Times New Roman" w:hAnsi="Times New Roman"/>
                <w:sz w:val="20"/>
                <w:szCs w:val="20"/>
              </w:rPr>
              <w:t>% годовых</w:t>
            </w:r>
          </w:p>
        </w:tc>
        <w:tc>
          <w:tcPr>
            <w:tcW w:w="5953" w:type="dxa"/>
            <w:vAlign w:val="center"/>
          </w:tcPr>
          <w:p w14:paraId="722367AE" w14:textId="67E14E55" w:rsidR="002C4458" w:rsidRPr="002C4458" w:rsidRDefault="002C630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½ до 1-</w:t>
            </w:r>
            <w:r w:rsidR="002C4458" w:rsidRPr="002C4458">
              <w:rPr>
                <w:rFonts w:ascii="Times New Roman" w:hAnsi="Times New Roman"/>
                <w:sz w:val="20"/>
                <w:szCs w:val="20"/>
              </w:rPr>
              <w:t>кратного размера ключевой ставки Банка России,</w:t>
            </w:r>
          </w:p>
          <w:p w14:paraId="534D77AB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  <w:tc>
          <w:tcPr>
            <w:tcW w:w="7655" w:type="dxa"/>
            <w:vAlign w:val="center"/>
          </w:tcPr>
          <w:p w14:paraId="5DF4C5E4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от ¾ до 2-кратного размера ключевой ставки Банка России,</w:t>
            </w:r>
          </w:p>
          <w:p w14:paraId="1258B5D1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</w:tr>
      <w:tr w:rsidR="002C4458" w:rsidRPr="002C4458" w14:paraId="43BCC020" w14:textId="77777777" w:rsidTr="00562330">
        <w:trPr>
          <w:trHeight w:val="510"/>
        </w:trPr>
        <w:tc>
          <w:tcPr>
            <w:tcW w:w="2127" w:type="dxa"/>
            <w:vAlign w:val="center"/>
          </w:tcPr>
          <w:p w14:paraId="7175C23A" w14:textId="748D9955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16</w:t>
            </w:r>
            <w:r w:rsidR="002C6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458">
              <w:rPr>
                <w:rFonts w:ascii="Times New Roman" w:hAnsi="Times New Roman"/>
                <w:sz w:val="20"/>
                <w:szCs w:val="20"/>
              </w:rPr>
              <w:t>% годовых и менее</w:t>
            </w:r>
          </w:p>
        </w:tc>
        <w:tc>
          <w:tcPr>
            <w:tcW w:w="5953" w:type="dxa"/>
            <w:vAlign w:val="center"/>
          </w:tcPr>
          <w:p w14:paraId="4DA92713" w14:textId="45126D2A" w:rsidR="002C4458" w:rsidRPr="002C4458" w:rsidRDefault="00865166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¾ до </w:t>
            </w:r>
            <w:r w:rsidR="002C630F">
              <w:rPr>
                <w:rFonts w:ascii="Times New Roman" w:hAnsi="Times New Roman"/>
                <w:sz w:val="20"/>
                <w:szCs w:val="20"/>
              </w:rPr>
              <w:t>1,5-</w:t>
            </w:r>
            <w:r w:rsidR="002C4458" w:rsidRPr="002C4458">
              <w:rPr>
                <w:rFonts w:ascii="Times New Roman" w:hAnsi="Times New Roman"/>
                <w:sz w:val="20"/>
                <w:szCs w:val="20"/>
              </w:rPr>
              <w:t>кратного размера ключевой ставки Банка России,</w:t>
            </w:r>
          </w:p>
          <w:p w14:paraId="6D4CF56B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  <w:tc>
          <w:tcPr>
            <w:tcW w:w="7655" w:type="dxa"/>
            <w:vAlign w:val="center"/>
          </w:tcPr>
          <w:p w14:paraId="3C6FEAD4" w14:textId="6AF77BBF" w:rsidR="002C4458" w:rsidRPr="002C4458" w:rsidRDefault="002C630F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1-</w:t>
            </w:r>
            <w:r w:rsidR="002C4458" w:rsidRPr="002C4458">
              <w:rPr>
                <w:rFonts w:ascii="Times New Roman" w:hAnsi="Times New Roman"/>
                <w:sz w:val="20"/>
                <w:szCs w:val="20"/>
              </w:rPr>
              <w:t>кратного до 2,5 размеров ключевой ставки Банка России,</w:t>
            </w:r>
          </w:p>
          <w:p w14:paraId="2C90A2A8" w14:textId="77777777" w:rsidR="002C4458" w:rsidRPr="002C4458" w:rsidRDefault="002C4458" w:rsidP="009856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  <w:proofErr w:type="gramEnd"/>
          </w:p>
        </w:tc>
      </w:tr>
    </w:tbl>
    <w:p w14:paraId="3B237533" w14:textId="77777777" w:rsidR="00735010" w:rsidRDefault="00735010" w:rsidP="0046043E">
      <w:pPr>
        <w:autoSpaceDE w:val="0"/>
        <w:autoSpaceDN w:val="0"/>
        <w:adjustRightInd w:val="0"/>
        <w:spacing w:after="0" w:line="240" w:lineRule="auto"/>
        <w:jc w:val="both"/>
        <w:rPr>
          <w:strike/>
          <w:sz w:val="19"/>
          <w:szCs w:val="19"/>
        </w:rPr>
      </w:pPr>
    </w:p>
    <w:sectPr w:rsidR="00735010" w:rsidSect="00A67E60">
      <w:pgSz w:w="16838" w:h="11906" w:orient="landscape"/>
      <w:pgMar w:top="426" w:right="536" w:bottom="28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368"/>
    <w:multiLevelType w:val="hybridMultilevel"/>
    <w:tmpl w:val="2DB2934E"/>
    <w:lvl w:ilvl="0" w:tplc="1B1AF3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66819"/>
    <w:multiLevelType w:val="hybridMultilevel"/>
    <w:tmpl w:val="8CD09240"/>
    <w:lvl w:ilvl="0" w:tplc="1B1AF3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13"/>
    <w:rsid w:val="000223AE"/>
    <w:rsid w:val="00022B81"/>
    <w:rsid w:val="000254E6"/>
    <w:rsid w:val="00027D88"/>
    <w:rsid w:val="0004212C"/>
    <w:rsid w:val="000626A3"/>
    <w:rsid w:val="00073CC2"/>
    <w:rsid w:val="000758C4"/>
    <w:rsid w:val="00076694"/>
    <w:rsid w:val="00077052"/>
    <w:rsid w:val="00083EC2"/>
    <w:rsid w:val="00085A0F"/>
    <w:rsid w:val="00097A29"/>
    <w:rsid w:val="000E40A8"/>
    <w:rsid w:val="000E725F"/>
    <w:rsid w:val="001069D6"/>
    <w:rsid w:val="00127F93"/>
    <w:rsid w:val="00136579"/>
    <w:rsid w:val="00137A6B"/>
    <w:rsid w:val="00137CEB"/>
    <w:rsid w:val="00150956"/>
    <w:rsid w:val="001775E4"/>
    <w:rsid w:val="00180D5A"/>
    <w:rsid w:val="001A1C32"/>
    <w:rsid w:val="001B09E1"/>
    <w:rsid w:val="001C1230"/>
    <w:rsid w:val="00204D0C"/>
    <w:rsid w:val="00207914"/>
    <w:rsid w:val="00214E92"/>
    <w:rsid w:val="00261BFD"/>
    <w:rsid w:val="00266F8D"/>
    <w:rsid w:val="00275E7B"/>
    <w:rsid w:val="00297CFF"/>
    <w:rsid w:val="00297D53"/>
    <w:rsid w:val="002A4C3C"/>
    <w:rsid w:val="002A593F"/>
    <w:rsid w:val="002C4458"/>
    <w:rsid w:val="002C630F"/>
    <w:rsid w:val="0031637F"/>
    <w:rsid w:val="00316BD1"/>
    <w:rsid w:val="003261F2"/>
    <w:rsid w:val="00333D2B"/>
    <w:rsid w:val="003552B5"/>
    <w:rsid w:val="003607FD"/>
    <w:rsid w:val="00374CAB"/>
    <w:rsid w:val="003771C3"/>
    <w:rsid w:val="00382F5D"/>
    <w:rsid w:val="0038542A"/>
    <w:rsid w:val="003A1F98"/>
    <w:rsid w:val="003D7D57"/>
    <w:rsid w:val="003E681D"/>
    <w:rsid w:val="003F5344"/>
    <w:rsid w:val="004226C6"/>
    <w:rsid w:val="00423A7C"/>
    <w:rsid w:val="0046043E"/>
    <w:rsid w:val="004659B4"/>
    <w:rsid w:val="00490CE2"/>
    <w:rsid w:val="00494629"/>
    <w:rsid w:val="004A07A9"/>
    <w:rsid w:val="004A2E14"/>
    <w:rsid w:val="004B7683"/>
    <w:rsid w:val="004D17A5"/>
    <w:rsid w:val="004E0029"/>
    <w:rsid w:val="004E1954"/>
    <w:rsid w:val="005120A2"/>
    <w:rsid w:val="00512388"/>
    <w:rsid w:val="00527F16"/>
    <w:rsid w:val="0053111C"/>
    <w:rsid w:val="0053373A"/>
    <w:rsid w:val="00534E4F"/>
    <w:rsid w:val="00536355"/>
    <w:rsid w:val="00545FBF"/>
    <w:rsid w:val="00562330"/>
    <w:rsid w:val="005925EF"/>
    <w:rsid w:val="0059389E"/>
    <w:rsid w:val="005A529B"/>
    <w:rsid w:val="005C0AB4"/>
    <w:rsid w:val="005D2414"/>
    <w:rsid w:val="005D6EBF"/>
    <w:rsid w:val="006204C7"/>
    <w:rsid w:val="00630846"/>
    <w:rsid w:val="0063447E"/>
    <w:rsid w:val="00642EDB"/>
    <w:rsid w:val="006555EE"/>
    <w:rsid w:val="00657D04"/>
    <w:rsid w:val="00661BFD"/>
    <w:rsid w:val="00665FBA"/>
    <w:rsid w:val="00667A70"/>
    <w:rsid w:val="006A0599"/>
    <w:rsid w:val="006A1F20"/>
    <w:rsid w:val="006C39FF"/>
    <w:rsid w:val="006E4712"/>
    <w:rsid w:val="006F60D1"/>
    <w:rsid w:val="00710674"/>
    <w:rsid w:val="00711289"/>
    <w:rsid w:val="00711AE6"/>
    <w:rsid w:val="0072660A"/>
    <w:rsid w:val="00726F9D"/>
    <w:rsid w:val="00727958"/>
    <w:rsid w:val="00735010"/>
    <w:rsid w:val="00741D1A"/>
    <w:rsid w:val="00754EB7"/>
    <w:rsid w:val="00757C52"/>
    <w:rsid w:val="00775BEA"/>
    <w:rsid w:val="007772F5"/>
    <w:rsid w:val="00781ADC"/>
    <w:rsid w:val="007975AE"/>
    <w:rsid w:val="007A541C"/>
    <w:rsid w:val="007A5C19"/>
    <w:rsid w:val="007B44E3"/>
    <w:rsid w:val="007C7AAA"/>
    <w:rsid w:val="007D0577"/>
    <w:rsid w:val="007D1708"/>
    <w:rsid w:val="007D3EDE"/>
    <w:rsid w:val="007E1C29"/>
    <w:rsid w:val="007F4480"/>
    <w:rsid w:val="00806F25"/>
    <w:rsid w:val="0081190E"/>
    <w:rsid w:val="00811985"/>
    <w:rsid w:val="00834720"/>
    <w:rsid w:val="00845CE6"/>
    <w:rsid w:val="0085787C"/>
    <w:rsid w:val="00865166"/>
    <w:rsid w:val="0086758E"/>
    <w:rsid w:val="0089437C"/>
    <w:rsid w:val="008962EA"/>
    <w:rsid w:val="008A09AF"/>
    <w:rsid w:val="008D4D3D"/>
    <w:rsid w:val="008D5183"/>
    <w:rsid w:val="008E52DF"/>
    <w:rsid w:val="008F2A5E"/>
    <w:rsid w:val="009144A6"/>
    <w:rsid w:val="009148B0"/>
    <w:rsid w:val="009171EB"/>
    <w:rsid w:val="00927F29"/>
    <w:rsid w:val="00927F81"/>
    <w:rsid w:val="009342F6"/>
    <w:rsid w:val="00951611"/>
    <w:rsid w:val="009661F3"/>
    <w:rsid w:val="00976CF6"/>
    <w:rsid w:val="00985615"/>
    <w:rsid w:val="00987250"/>
    <w:rsid w:val="009A7424"/>
    <w:rsid w:val="009A7B11"/>
    <w:rsid w:val="009B6463"/>
    <w:rsid w:val="009B70AE"/>
    <w:rsid w:val="009C10E6"/>
    <w:rsid w:val="009E3F34"/>
    <w:rsid w:val="009E795B"/>
    <w:rsid w:val="009E7F1F"/>
    <w:rsid w:val="00A018E0"/>
    <w:rsid w:val="00A065DE"/>
    <w:rsid w:val="00A07C90"/>
    <w:rsid w:val="00A15BCB"/>
    <w:rsid w:val="00A16654"/>
    <w:rsid w:val="00A54834"/>
    <w:rsid w:val="00A67E60"/>
    <w:rsid w:val="00A76487"/>
    <w:rsid w:val="00A84626"/>
    <w:rsid w:val="00A94F60"/>
    <w:rsid w:val="00AA6197"/>
    <w:rsid w:val="00AC5071"/>
    <w:rsid w:val="00AF0427"/>
    <w:rsid w:val="00B00EC9"/>
    <w:rsid w:val="00B02D64"/>
    <w:rsid w:val="00B05897"/>
    <w:rsid w:val="00B1259A"/>
    <w:rsid w:val="00B2085F"/>
    <w:rsid w:val="00B329F2"/>
    <w:rsid w:val="00B46C47"/>
    <w:rsid w:val="00B61944"/>
    <w:rsid w:val="00B63718"/>
    <w:rsid w:val="00B63B99"/>
    <w:rsid w:val="00B66A94"/>
    <w:rsid w:val="00B878B8"/>
    <w:rsid w:val="00BB2F5F"/>
    <w:rsid w:val="00BB3FE8"/>
    <w:rsid w:val="00BC004E"/>
    <w:rsid w:val="00BC0EDF"/>
    <w:rsid w:val="00BC1167"/>
    <w:rsid w:val="00C15D13"/>
    <w:rsid w:val="00C37F3E"/>
    <w:rsid w:val="00C451C0"/>
    <w:rsid w:val="00C4615D"/>
    <w:rsid w:val="00C55F81"/>
    <w:rsid w:val="00C75659"/>
    <w:rsid w:val="00C83AF7"/>
    <w:rsid w:val="00C91699"/>
    <w:rsid w:val="00CA30CF"/>
    <w:rsid w:val="00CB4C12"/>
    <w:rsid w:val="00CC1BDB"/>
    <w:rsid w:val="00CC3ADB"/>
    <w:rsid w:val="00CC42AE"/>
    <w:rsid w:val="00CC6F69"/>
    <w:rsid w:val="00CE5522"/>
    <w:rsid w:val="00CF4648"/>
    <w:rsid w:val="00D203AA"/>
    <w:rsid w:val="00D42D7F"/>
    <w:rsid w:val="00D469A3"/>
    <w:rsid w:val="00D50A7C"/>
    <w:rsid w:val="00D617E7"/>
    <w:rsid w:val="00DA323B"/>
    <w:rsid w:val="00DC05A2"/>
    <w:rsid w:val="00DC2A53"/>
    <w:rsid w:val="00DE2E90"/>
    <w:rsid w:val="00DE2ED9"/>
    <w:rsid w:val="00DE5C7C"/>
    <w:rsid w:val="00DF1AB4"/>
    <w:rsid w:val="00DF7DFA"/>
    <w:rsid w:val="00E258E0"/>
    <w:rsid w:val="00E75985"/>
    <w:rsid w:val="00E77EE7"/>
    <w:rsid w:val="00E8789C"/>
    <w:rsid w:val="00EC5A13"/>
    <w:rsid w:val="00F05527"/>
    <w:rsid w:val="00F14FFA"/>
    <w:rsid w:val="00F23685"/>
    <w:rsid w:val="00F37BC9"/>
    <w:rsid w:val="00F424A7"/>
    <w:rsid w:val="00F76679"/>
    <w:rsid w:val="00F97052"/>
    <w:rsid w:val="00FA1604"/>
    <w:rsid w:val="00FC3DB2"/>
    <w:rsid w:val="00FC6E84"/>
    <w:rsid w:val="00FD3F1D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E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1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7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4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EC5A13"/>
    <w:pPr>
      <w:ind w:left="720"/>
      <w:contextualSpacing/>
    </w:p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EC5A1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C5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C5A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C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241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8">
    <w:name w:val="Emphasis"/>
    <w:basedOn w:val="a0"/>
    <w:uiPriority w:val="20"/>
    <w:qFormat/>
    <w:rsid w:val="009B6463"/>
    <w:rPr>
      <w:i/>
      <w:iCs/>
    </w:rPr>
  </w:style>
  <w:style w:type="table" w:styleId="a9">
    <w:name w:val="Table Grid"/>
    <w:basedOn w:val="a1"/>
    <w:uiPriority w:val="59"/>
    <w:rsid w:val="00A1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1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7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4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EC5A13"/>
    <w:pPr>
      <w:ind w:left="720"/>
      <w:contextualSpacing/>
    </w:p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EC5A1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C5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C5A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C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241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8">
    <w:name w:val="Emphasis"/>
    <w:basedOn w:val="a0"/>
    <w:uiPriority w:val="20"/>
    <w:qFormat/>
    <w:rsid w:val="009B6463"/>
    <w:rPr>
      <w:i/>
      <w:iCs/>
    </w:rPr>
  </w:style>
  <w:style w:type="table" w:styleId="a9">
    <w:name w:val="Table Grid"/>
    <w:basedOn w:val="a1"/>
    <w:uiPriority w:val="59"/>
    <w:rsid w:val="00A1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shugaev\AppData\Local\Microsoft\Windows\INetCache\Content.Outlook\AppData\Local\Microsoft\Windows\INetCache\Content.Outlook\AppData\Local\Microsoft\Windows\INetCache\Content.Outlook\AppData\Local\Microsoft\Windows\Temporary%20Internet%20Files\Content.Outlook\AppData\Documents%20and%20Settings\u21\&#1056;&#1072;&#1073;&#1086;&#1095;&#1080;&#1081;%20&#1089;&#1090;&#1086;&#1083;\&#1057;&#1086;&#1074;&#1077;&#1090;%20&#1076;&#1080;&#1088;&#1077;&#1082;&#1090;&#1086;&#1088;&#1086;&#1074;%20&#1080;&#1079;&#1084;&#1077;&#1085;.%20&#1087;&#1088;&#1086;&#1076;&#1091;&#1082;&#1090;\&#1087;&#1072;&#1089;&#1087;&#1086;&#1088;&#1090;%20&#1087;&#1088;&#1086;&#1076;&#1091;&#1082;&#1090;&#1072;%20&#1072;&#1087;&#1088;%202012.xl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nd7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FABF-20BA-4B44-9A47-0A982B60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Лиленко</cp:lastModifiedBy>
  <cp:revision>132</cp:revision>
  <cp:lastPrinted>2025-08-20T13:23:00Z</cp:lastPrinted>
  <dcterms:created xsi:type="dcterms:W3CDTF">2024-08-08T08:06:00Z</dcterms:created>
  <dcterms:modified xsi:type="dcterms:W3CDTF">2025-08-25T07:34:00Z</dcterms:modified>
</cp:coreProperties>
</file>